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47F" w:rsidRDefault="00FF2D72">
      <w:pPr>
        <w:pStyle w:val="Standard"/>
        <w:snapToGrid w:val="0"/>
        <w:spacing w:after="180" w:line="240" w:lineRule="atLeast"/>
        <w:jc w:val="center"/>
        <w:rPr>
          <w:rFonts w:eastAsia="標楷體"/>
          <w:b/>
          <w:sz w:val="32"/>
          <w:szCs w:val="32"/>
        </w:rPr>
      </w:pPr>
      <w:bookmarkStart w:id="0" w:name="_GoBack"/>
      <w:bookmarkEnd w:id="0"/>
      <w:r>
        <w:rPr>
          <w:rFonts w:eastAsia="標楷體"/>
          <w:b/>
          <w:sz w:val="32"/>
          <w:szCs w:val="32"/>
        </w:rPr>
        <w:t>臺北市區域性資賦優異教育方案</w:t>
      </w:r>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89</w:t>
      </w:r>
      <w:r>
        <w:rPr>
          <w:rFonts w:ascii="Book Antiqua" w:eastAsia="標楷體" w:hAnsi="Book Antiqua" w:cs="Book Antiqua"/>
          <w:sz w:val="16"/>
        </w:rPr>
        <w:t>年</w:t>
      </w:r>
      <w:r>
        <w:rPr>
          <w:rFonts w:ascii="Book Antiqua" w:eastAsia="標楷體" w:hAnsi="Book Antiqua" w:cs="Book Antiqua"/>
          <w:sz w:val="16"/>
        </w:rPr>
        <w:t>2</w:t>
      </w:r>
      <w:r>
        <w:rPr>
          <w:rFonts w:ascii="Book Antiqua" w:eastAsia="標楷體" w:hAnsi="Book Antiqua" w:cs="Book Antiqua"/>
          <w:sz w:val="16"/>
        </w:rPr>
        <w:t>月</w:t>
      </w:r>
      <w:r>
        <w:rPr>
          <w:rFonts w:ascii="Book Antiqua" w:eastAsia="標楷體" w:hAnsi="Book Antiqua" w:cs="Book Antiqua"/>
          <w:sz w:val="16"/>
        </w:rPr>
        <w:t>22</w:t>
      </w:r>
      <w:r>
        <w:rPr>
          <w:rFonts w:ascii="Book Antiqua" w:eastAsia="標楷體" w:hAnsi="Book Antiqua" w:cs="Book Antiqua"/>
          <w:sz w:val="16"/>
        </w:rPr>
        <w:t>日北市教五字</w:t>
      </w:r>
      <w:proofErr w:type="gramStart"/>
      <w:r>
        <w:rPr>
          <w:rFonts w:ascii="Book Antiqua" w:eastAsia="標楷體" w:hAnsi="Book Antiqua" w:cs="Book Antiqua"/>
          <w:sz w:val="16"/>
        </w:rPr>
        <w:t>第</w:t>
      </w:r>
      <w:r>
        <w:rPr>
          <w:rFonts w:ascii="Book Antiqua" w:eastAsia="標楷體" w:hAnsi="Book Antiqua" w:cs="Book Antiqua"/>
          <w:sz w:val="16"/>
        </w:rPr>
        <w:t>8928901600</w:t>
      </w:r>
      <w:r>
        <w:rPr>
          <w:rFonts w:ascii="Book Antiqua" w:eastAsia="標楷體" w:hAnsi="Book Antiqua" w:cs="Book Antiqua"/>
          <w:sz w:val="16"/>
        </w:rPr>
        <w:t>號函訂頒</w:t>
      </w:r>
      <w:proofErr w:type="gramEnd"/>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91</w:t>
      </w:r>
      <w:r>
        <w:rPr>
          <w:rFonts w:ascii="Book Antiqua" w:eastAsia="標楷體" w:hAnsi="Book Antiqua" w:cs="Book Antiqua"/>
          <w:sz w:val="16"/>
        </w:rPr>
        <w:t>年</w:t>
      </w:r>
      <w:r>
        <w:rPr>
          <w:rFonts w:ascii="Book Antiqua" w:eastAsia="標楷體" w:hAnsi="Book Antiqua" w:cs="Book Antiqua"/>
          <w:sz w:val="16"/>
        </w:rPr>
        <w:t>8</w:t>
      </w:r>
      <w:r>
        <w:rPr>
          <w:rFonts w:ascii="Book Antiqua" w:eastAsia="標楷體" w:hAnsi="Book Antiqua" w:cs="Book Antiqua"/>
          <w:sz w:val="16"/>
        </w:rPr>
        <w:t>月</w:t>
      </w:r>
      <w:r>
        <w:rPr>
          <w:rFonts w:ascii="Book Antiqua" w:eastAsia="標楷體" w:hAnsi="Book Antiqua" w:cs="Book Antiqua"/>
          <w:sz w:val="16"/>
        </w:rPr>
        <w:t>9</w:t>
      </w:r>
      <w:r>
        <w:rPr>
          <w:rFonts w:ascii="Book Antiqua" w:eastAsia="標楷體" w:hAnsi="Book Antiqua" w:cs="Book Antiqua"/>
          <w:sz w:val="16"/>
        </w:rPr>
        <w:t>日北市教五字第</w:t>
      </w:r>
      <w:r>
        <w:rPr>
          <w:rFonts w:ascii="Book Antiqua" w:eastAsia="標楷體" w:hAnsi="Book Antiqua" w:cs="Book Antiqua"/>
          <w:sz w:val="16"/>
        </w:rPr>
        <w:t>09136288700</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95</w:t>
      </w:r>
      <w:r>
        <w:rPr>
          <w:rFonts w:ascii="Book Antiqua" w:eastAsia="標楷體" w:hAnsi="Book Antiqua" w:cs="Book Antiqua"/>
          <w:sz w:val="16"/>
        </w:rPr>
        <w:t>年</w:t>
      </w:r>
      <w:r>
        <w:rPr>
          <w:rFonts w:ascii="Book Antiqua" w:eastAsia="標楷體" w:hAnsi="Book Antiqua" w:cs="Book Antiqua"/>
          <w:sz w:val="16"/>
        </w:rPr>
        <w:t>11</w:t>
      </w:r>
      <w:r>
        <w:rPr>
          <w:rFonts w:ascii="Book Antiqua" w:eastAsia="標楷體" w:hAnsi="Book Antiqua" w:cs="Book Antiqua"/>
          <w:sz w:val="16"/>
        </w:rPr>
        <w:t>月</w:t>
      </w:r>
      <w:r>
        <w:rPr>
          <w:rFonts w:ascii="Book Antiqua" w:eastAsia="標楷體" w:hAnsi="Book Antiqua" w:cs="Book Antiqua"/>
          <w:sz w:val="16"/>
        </w:rPr>
        <w:t>2</w:t>
      </w:r>
      <w:r>
        <w:rPr>
          <w:rFonts w:ascii="Book Antiqua" w:eastAsia="標楷體" w:hAnsi="Book Antiqua" w:cs="Book Antiqua"/>
          <w:sz w:val="16"/>
        </w:rPr>
        <w:t>日北市教</w:t>
      </w:r>
      <w:proofErr w:type="gramStart"/>
      <w:r>
        <w:rPr>
          <w:rFonts w:ascii="Book Antiqua" w:eastAsia="標楷體" w:hAnsi="Book Antiqua" w:cs="Book Antiqua"/>
          <w:sz w:val="16"/>
        </w:rPr>
        <w:t>特</w:t>
      </w:r>
      <w:proofErr w:type="gramEnd"/>
      <w:r>
        <w:rPr>
          <w:rFonts w:ascii="Book Antiqua" w:eastAsia="標楷體" w:hAnsi="Book Antiqua" w:cs="Book Antiqua"/>
          <w:sz w:val="16"/>
        </w:rPr>
        <w:t>字第</w:t>
      </w:r>
      <w:r>
        <w:rPr>
          <w:rFonts w:ascii="Book Antiqua" w:eastAsia="標楷體" w:hAnsi="Book Antiqua" w:cs="Book Antiqua"/>
          <w:sz w:val="16"/>
        </w:rPr>
        <w:t>09538449600</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99</w:t>
      </w:r>
      <w:r>
        <w:rPr>
          <w:rFonts w:ascii="Book Antiqua" w:eastAsia="標楷體" w:hAnsi="Book Antiqua" w:cs="Book Antiqua"/>
          <w:sz w:val="16"/>
        </w:rPr>
        <w:t>年</w:t>
      </w:r>
      <w:r>
        <w:rPr>
          <w:rFonts w:ascii="Book Antiqua" w:eastAsia="標楷體" w:hAnsi="Book Antiqua" w:cs="Book Antiqua"/>
          <w:sz w:val="16"/>
        </w:rPr>
        <w:t>8</w:t>
      </w:r>
      <w:r>
        <w:rPr>
          <w:rFonts w:ascii="Book Antiqua" w:eastAsia="標楷體" w:hAnsi="Book Antiqua" w:cs="Book Antiqua"/>
          <w:sz w:val="16"/>
        </w:rPr>
        <w:t>月</w:t>
      </w:r>
      <w:r>
        <w:rPr>
          <w:rFonts w:ascii="Book Antiqua" w:eastAsia="標楷體" w:hAnsi="Book Antiqua" w:cs="Book Antiqua"/>
          <w:sz w:val="16"/>
        </w:rPr>
        <w:t>25</w:t>
      </w:r>
      <w:r>
        <w:rPr>
          <w:rFonts w:ascii="Book Antiqua" w:eastAsia="標楷體" w:hAnsi="Book Antiqua" w:cs="Book Antiqua"/>
          <w:sz w:val="16"/>
        </w:rPr>
        <w:t>日北市教</w:t>
      </w:r>
      <w:proofErr w:type="gramStart"/>
      <w:r>
        <w:rPr>
          <w:rFonts w:ascii="Book Antiqua" w:eastAsia="標楷體" w:hAnsi="Book Antiqua" w:cs="Book Antiqua"/>
          <w:sz w:val="16"/>
        </w:rPr>
        <w:t>特</w:t>
      </w:r>
      <w:proofErr w:type="gramEnd"/>
      <w:r>
        <w:rPr>
          <w:rFonts w:ascii="Book Antiqua" w:eastAsia="標楷體" w:hAnsi="Book Antiqua" w:cs="Book Antiqua"/>
          <w:sz w:val="16"/>
        </w:rPr>
        <w:t>字第</w:t>
      </w:r>
      <w:r>
        <w:rPr>
          <w:rFonts w:ascii="Book Antiqua" w:eastAsia="標楷體" w:hAnsi="Book Antiqua" w:cs="Book Antiqua"/>
          <w:sz w:val="16"/>
        </w:rPr>
        <w:t>09937856400</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101</w:t>
      </w:r>
      <w:r>
        <w:rPr>
          <w:rFonts w:ascii="Book Antiqua" w:eastAsia="標楷體" w:hAnsi="Book Antiqua" w:cs="Book Antiqua"/>
          <w:sz w:val="16"/>
        </w:rPr>
        <w:t>年</w:t>
      </w:r>
      <w:r>
        <w:rPr>
          <w:rFonts w:ascii="Book Antiqua" w:eastAsia="標楷體" w:hAnsi="Book Antiqua" w:cs="Book Antiqua"/>
          <w:sz w:val="16"/>
        </w:rPr>
        <w:t>9</w:t>
      </w:r>
      <w:r>
        <w:rPr>
          <w:rFonts w:ascii="Book Antiqua" w:eastAsia="標楷體" w:hAnsi="Book Antiqua" w:cs="Book Antiqua"/>
          <w:sz w:val="16"/>
        </w:rPr>
        <w:t>月</w:t>
      </w:r>
      <w:r>
        <w:rPr>
          <w:rFonts w:ascii="Book Antiqua" w:eastAsia="標楷體" w:hAnsi="Book Antiqua" w:cs="Book Antiqua"/>
          <w:sz w:val="16"/>
        </w:rPr>
        <w:t>19</w:t>
      </w:r>
      <w:r>
        <w:rPr>
          <w:rFonts w:ascii="Book Antiqua" w:eastAsia="標楷體" w:hAnsi="Book Antiqua" w:cs="Book Antiqua"/>
          <w:sz w:val="16"/>
        </w:rPr>
        <w:t>日北市教</w:t>
      </w:r>
      <w:proofErr w:type="gramStart"/>
      <w:r>
        <w:rPr>
          <w:rFonts w:ascii="Book Antiqua" w:eastAsia="標楷體" w:hAnsi="Book Antiqua" w:cs="Book Antiqua"/>
          <w:sz w:val="16"/>
        </w:rPr>
        <w:t>特</w:t>
      </w:r>
      <w:proofErr w:type="gramEnd"/>
      <w:r>
        <w:rPr>
          <w:rFonts w:ascii="Book Antiqua" w:eastAsia="標楷體" w:hAnsi="Book Antiqua" w:cs="Book Antiqua"/>
          <w:sz w:val="16"/>
        </w:rPr>
        <w:t>字</w:t>
      </w:r>
      <w:r>
        <w:rPr>
          <w:rFonts w:ascii="Book Antiqua" w:eastAsia="標楷體" w:hAnsi="Book Antiqua" w:cs="標楷體"/>
          <w:sz w:val="16"/>
        </w:rPr>
        <w:t>第</w:t>
      </w:r>
      <w:r>
        <w:rPr>
          <w:rFonts w:ascii="Book Antiqua" w:eastAsia="標楷體" w:hAnsi="Book Antiqua" w:cs="Book Antiqua"/>
          <w:sz w:val="16"/>
        </w:rPr>
        <w:t>10141067500</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pPr>
      <w:r>
        <w:rPr>
          <w:rFonts w:ascii="Book Antiqua" w:eastAsia="標楷體" w:hAnsi="Book Antiqua" w:cs="Book Antiqua"/>
          <w:sz w:val="16"/>
        </w:rPr>
        <w:t>臺北市政府教育局</w:t>
      </w:r>
      <w:r>
        <w:rPr>
          <w:rFonts w:ascii="Book Antiqua" w:eastAsia="標楷體" w:hAnsi="Book Antiqua" w:cs="Book Antiqua"/>
          <w:sz w:val="16"/>
        </w:rPr>
        <w:t>102</w:t>
      </w:r>
      <w:r>
        <w:rPr>
          <w:rFonts w:ascii="Book Antiqua" w:eastAsia="標楷體" w:hAnsi="Book Antiqua" w:cs="Book Antiqua"/>
          <w:sz w:val="16"/>
        </w:rPr>
        <w:t>年</w:t>
      </w:r>
      <w:r>
        <w:rPr>
          <w:rFonts w:ascii="Book Antiqua" w:eastAsia="標楷體" w:hAnsi="Book Antiqua" w:cs="Book Antiqua"/>
          <w:sz w:val="16"/>
        </w:rPr>
        <w:t>7</w:t>
      </w:r>
      <w:r>
        <w:rPr>
          <w:rFonts w:ascii="Book Antiqua" w:eastAsia="標楷體" w:hAnsi="Book Antiqua" w:cs="Book Antiqua"/>
          <w:sz w:val="16"/>
        </w:rPr>
        <w:t>月</w:t>
      </w:r>
      <w:r>
        <w:rPr>
          <w:rFonts w:ascii="Book Antiqua" w:eastAsia="標楷體" w:hAnsi="Book Antiqua" w:cs="Book Antiqua"/>
          <w:sz w:val="16"/>
        </w:rPr>
        <w:t>9</w:t>
      </w:r>
      <w:r>
        <w:rPr>
          <w:rFonts w:ascii="Book Antiqua" w:eastAsia="標楷體" w:hAnsi="Book Antiqua" w:cs="Book Antiqua"/>
          <w:sz w:val="16"/>
        </w:rPr>
        <w:t>日北市教</w:t>
      </w:r>
      <w:proofErr w:type="gramStart"/>
      <w:r>
        <w:rPr>
          <w:rFonts w:ascii="Book Antiqua" w:eastAsia="標楷體" w:hAnsi="Book Antiqua" w:cs="Book Antiqua"/>
          <w:sz w:val="16"/>
        </w:rPr>
        <w:t>特</w:t>
      </w:r>
      <w:proofErr w:type="gramEnd"/>
      <w:r>
        <w:rPr>
          <w:rFonts w:ascii="Book Antiqua" w:eastAsia="標楷體" w:hAnsi="Book Antiqua" w:cs="Book Antiqua"/>
          <w:sz w:val="16"/>
        </w:rPr>
        <w:t>字第</w:t>
      </w:r>
      <w:r>
        <w:rPr>
          <w:rFonts w:ascii="Book Antiqua" w:eastAsia="標楷體" w:hAnsi="Book Antiqua" w:cs="Book Antiqua"/>
          <w:sz w:val="16"/>
        </w:rPr>
        <w:t>10237537600</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rPr>
          <w:rFonts w:ascii="Book Antiqua" w:eastAsia="標楷體" w:hAnsi="Book Antiqua" w:cs="Book Antiqua"/>
          <w:sz w:val="16"/>
        </w:rPr>
      </w:pPr>
      <w:r>
        <w:rPr>
          <w:rFonts w:ascii="Book Antiqua" w:eastAsia="標楷體" w:hAnsi="Book Antiqua" w:cs="Book Antiqua"/>
          <w:sz w:val="16"/>
        </w:rPr>
        <w:t>臺北市政府教育局</w:t>
      </w:r>
      <w:r>
        <w:rPr>
          <w:rFonts w:ascii="Book Antiqua" w:eastAsia="標楷體" w:hAnsi="Book Antiqua" w:cs="Book Antiqua"/>
          <w:sz w:val="16"/>
        </w:rPr>
        <w:t>112</w:t>
      </w:r>
      <w:r>
        <w:rPr>
          <w:rFonts w:ascii="Book Antiqua" w:eastAsia="標楷體" w:hAnsi="Book Antiqua" w:cs="Book Antiqua"/>
          <w:sz w:val="16"/>
        </w:rPr>
        <w:t>年</w:t>
      </w:r>
      <w:r>
        <w:rPr>
          <w:rFonts w:ascii="Book Antiqua" w:eastAsia="標楷體" w:hAnsi="Book Antiqua" w:cs="Book Antiqua"/>
          <w:sz w:val="16"/>
        </w:rPr>
        <w:t>10</w:t>
      </w:r>
      <w:r>
        <w:rPr>
          <w:rFonts w:ascii="Book Antiqua" w:eastAsia="標楷體" w:hAnsi="Book Antiqua" w:cs="Book Antiqua"/>
          <w:sz w:val="16"/>
        </w:rPr>
        <w:t>月</w:t>
      </w:r>
      <w:r>
        <w:rPr>
          <w:rFonts w:ascii="Book Antiqua" w:eastAsia="標楷體" w:hAnsi="Book Antiqua" w:cs="Book Antiqua"/>
          <w:sz w:val="16"/>
        </w:rPr>
        <w:t>25</w:t>
      </w:r>
      <w:r>
        <w:rPr>
          <w:rFonts w:ascii="Book Antiqua" w:eastAsia="標楷體" w:hAnsi="Book Antiqua" w:cs="Book Antiqua"/>
          <w:sz w:val="16"/>
        </w:rPr>
        <w:t>日北市教</w:t>
      </w:r>
      <w:proofErr w:type="gramStart"/>
      <w:r>
        <w:rPr>
          <w:rFonts w:ascii="Book Antiqua" w:eastAsia="標楷體" w:hAnsi="Book Antiqua" w:cs="Book Antiqua"/>
          <w:sz w:val="16"/>
        </w:rPr>
        <w:t>特</w:t>
      </w:r>
      <w:proofErr w:type="gramEnd"/>
      <w:r>
        <w:rPr>
          <w:rFonts w:ascii="Book Antiqua" w:eastAsia="標楷體" w:hAnsi="Book Antiqua" w:cs="Book Antiqua"/>
          <w:sz w:val="16"/>
        </w:rPr>
        <w:t>字第</w:t>
      </w:r>
      <w:r>
        <w:rPr>
          <w:rFonts w:ascii="Book Antiqua" w:eastAsia="標楷體" w:hAnsi="Book Antiqua" w:cs="Book Antiqua"/>
          <w:sz w:val="16"/>
        </w:rPr>
        <w:t>1123092874</w:t>
      </w:r>
      <w:r>
        <w:rPr>
          <w:rFonts w:ascii="Book Antiqua" w:eastAsia="標楷體" w:hAnsi="Book Antiqua" w:cs="Book Antiqua"/>
          <w:sz w:val="16"/>
        </w:rPr>
        <w:t>號函修正</w:t>
      </w:r>
    </w:p>
    <w:p w:rsidR="0017447F" w:rsidRDefault="00FF2D72">
      <w:pPr>
        <w:pStyle w:val="Standard"/>
        <w:snapToGrid w:val="0"/>
        <w:spacing w:line="240" w:lineRule="exact"/>
        <w:ind w:left="3969" w:firstLine="680"/>
        <w:jc w:val="both"/>
        <w:rPr>
          <w:rFonts w:ascii="Book Antiqua" w:eastAsia="標楷體" w:hAnsi="Book Antiqua" w:cs="Book Antiqua"/>
          <w:color w:val="0000FF"/>
          <w:sz w:val="16"/>
        </w:rPr>
      </w:pPr>
      <w:r>
        <w:rPr>
          <w:rFonts w:ascii="Book Antiqua" w:eastAsia="標楷體" w:hAnsi="Book Antiqua" w:cs="Book Antiqua"/>
          <w:color w:val="0000FF"/>
          <w:sz w:val="16"/>
        </w:rPr>
        <w:t>臺北市政府教育局</w:t>
      </w:r>
      <w:r>
        <w:rPr>
          <w:rFonts w:ascii="Book Antiqua" w:eastAsia="標楷體" w:hAnsi="Book Antiqua" w:cs="Book Antiqua"/>
          <w:color w:val="0000FF"/>
          <w:sz w:val="16"/>
        </w:rPr>
        <w:t>113</w:t>
      </w:r>
      <w:r>
        <w:rPr>
          <w:rFonts w:ascii="Book Antiqua" w:eastAsia="標楷體" w:hAnsi="Book Antiqua" w:cs="Book Antiqua"/>
          <w:color w:val="0000FF"/>
          <w:sz w:val="16"/>
        </w:rPr>
        <w:t>年</w:t>
      </w:r>
      <w:r>
        <w:rPr>
          <w:rFonts w:ascii="Book Antiqua" w:eastAsia="標楷體" w:hAnsi="Book Antiqua" w:cs="Book Antiqua"/>
          <w:color w:val="0000FF"/>
          <w:sz w:val="16"/>
        </w:rPr>
        <w:t>12</w:t>
      </w:r>
      <w:r>
        <w:rPr>
          <w:rFonts w:ascii="Book Antiqua" w:eastAsia="標楷體" w:hAnsi="Book Antiqua" w:cs="Book Antiqua"/>
          <w:color w:val="0000FF"/>
          <w:sz w:val="16"/>
        </w:rPr>
        <w:t>月</w:t>
      </w:r>
      <w:r>
        <w:rPr>
          <w:rFonts w:ascii="Book Antiqua" w:eastAsia="標楷體" w:hAnsi="Book Antiqua" w:cs="Book Antiqua"/>
          <w:color w:val="0000FF"/>
          <w:sz w:val="16"/>
        </w:rPr>
        <w:t>20</w:t>
      </w:r>
      <w:r>
        <w:rPr>
          <w:rFonts w:ascii="Book Antiqua" w:eastAsia="標楷體" w:hAnsi="Book Antiqua" w:cs="Book Antiqua"/>
          <w:color w:val="0000FF"/>
          <w:sz w:val="16"/>
        </w:rPr>
        <w:t>日北市教</w:t>
      </w:r>
      <w:proofErr w:type="gramStart"/>
      <w:r>
        <w:rPr>
          <w:rFonts w:ascii="Book Antiqua" w:eastAsia="標楷體" w:hAnsi="Book Antiqua" w:cs="Book Antiqua"/>
          <w:color w:val="0000FF"/>
          <w:sz w:val="16"/>
        </w:rPr>
        <w:t>特</w:t>
      </w:r>
      <w:proofErr w:type="gramEnd"/>
      <w:r>
        <w:rPr>
          <w:rFonts w:ascii="Book Antiqua" w:eastAsia="標楷體" w:hAnsi="Book Antiqua" w:cs="Book Antiqua"/>
          <w:color w:val="0000FF"/>
          <w:sz w:val="16"/>
        </w:rPr>
        <w:t>字第</w:t>
      </w:r>
      <w:r>
        <w:rPr>
          <w:rFonts w:ascii="Book Antiqua" w:eastAsia="標楷體" w:hAnsi="Book Antiqua" w:cs="Book Antiqua"/>
          <w:color w:val="0000FF"/>
          <w:sz w:val="16"/>
        </w:rPr>
        <w:t>1133117901</w:t>
      </w:r>
      <w:r>
        <w:rPr>
          <w:rFonts w:ascii="Book Antiqua" w:eastAsia="標楷體" w:hAnsi="Book Antiqua" w:cs="Book Antiqua"/>
          <w:color w:val="0000FF"/>
          <w:sz w:val="16"/>
        </w:rPr>
        <w:t>號函修正</w:t>
      </w:r>
    </w:p>
    <w:p w:rsidR="0017447F" w:rsidRDefault="00FF2D72">
      <w:pPr>
        <w:pStyle w:val="20"/>
        <w:tabs>
          <w:tab w:val="right" w:pos="10159"/>
        </w:tabs>
        <w:snapToGrid w:val="0"/>
        <w:spacing w:after="108" w:line="240" w:lineRule="atLeast"/>
        <w:ind w:left="520" w:hanging="520"/>
        <w:jc w:val="both"/>
      </w:pPr>
      <w:r>
        <w:rPr>
          <w:sz w:val="26"/>
          <w:szCs w:val="26"/>
        </w:rPr>
        <w:t>一、依</w:t>
      </w:r>
      <w:r>
        <w:rPr>
          <w:rFonts w:eastAsia="Times New Roman"/>
          <w:sz w:val="26"/>
          <w:szCs w:val="26"/>
        </w:rPr>
        <w:t xml:space="preserve">    </w:t>
      </w:r>
      <w:r>
        <w:rPr>
          <w:sz w:val="26"/>
          <w:szCs w:val="26"/>
        </w:rPr>
        <w:t>據</w:t>
      </w:r>
    </w:p>
    <w:p w:rsidR="0017447F" w:rsidRDefault="00FF2D72">
      <w:pPr>
        <w:pStyle w:val="3"/>
        <w:spacing w:after="108"/>
        <w:ind w:left="1138" w:hanging="780"/>
        <w:jc w:val="both"/>
        <w:rPr>
          <w:sz w:val="26"/>
          <w:szCs w:val="26"/>
          <w:u w:val="none"/>
        </w:rPr>
      </w:pPr>
      <w:r>
        <w:rPr>
          <w:sz w:val="26"/>
          <w:szCs w:val="26"/>
          <w:u w:val="none"/>
        </w:rPr>
        <w:t>（一）特殊教育法及其施行細則。</w:t>
      </w:r>
    </w:p>
    <w:p w:rsidR="0017447F" w:rsidRDefault="00FF2D72">
      <w:pPr>
        <w:pStyle w:val="3"/>
        <w:spacing w:after="108"/>
        <w:ind w:left="1138" w:hanging="780"/>
        <w:jc w:val="both"/>
      </w:pPr>
      <w:r>
        <w:rPr>
          <w:color w:val="0000FF"/>
          <w:sz w:val="26"/>
          <w:szCs w:val="26"/>
          <w:u w:val="none"/>
        </w:rPr>
        <w:t>（二）臺北市高級中等以下學校辦理多元資優教育方案獎補助辦法。</w:t>
      </w:r>
    </w:p>
    <w:p w:rsidR="0017447F" w:rsidRDefault="00FF2D72">
      <w:pPr>
        <w:pStyle w:val="3"/>
        <w:spacing w:after="108"/>
        <w:ind w:left="1138" w:hanging="780"/>
        <w:jc w:val="both"/>
      </w:pPr>
      <w:r>
        <w:rPr>
          <w:sz w:val="26"/>
          <w:szCs w:val="26"/>
          <w:u w:val="none"/>
        </w:rPr>
        <w:t>（三）教育部國民及學前教育署補助高級中等以下學校辦理資優教育作業要點。</w:t>
      </w:r>
    </w:p>
    <w:p w:rsidR="0017447F" w:rsidRDefault="00FF2D72">
      <w:pPr>
        <w:pStyle w:val="3"/>
        <w:spacing w:after="108"/>
        <w:ind w:left="1138" w:hanging="780"/>
        <w:jc w:val="both"/>
      </w:pPr>
      <w:r>
        <w:rPr>
          <w:sz w:val="26"/>
          <w:szCs w:val="26"/>
          <w:u w:val="none"/>
        </w:rPr>
        <w:t>（四）臺北市資賦優異教育白皮書</w:t>
      </w:r>
      <w:proofErr w:type="gramStart"/>
      <w:r>
        <w:rPr>
          <w:sz w:val="26"/>
          <w:szCs w:val="26"/>
          <w:u w:val="none"/>
        </w:rPr>
        <w:t>—</w:t>
      </w:r>
      <w:proofErr w:type="gramEnd"/>
      <w:r>
        <w:rPr>
          <w:sz w:val="26"/>
          <w:szCs w:val="26"/>
          <w:u w:val="none"/>
        </w:rPr>
        <w:t>中長程發展計畫（</w:t>
      </w:r>
      <w:r>
        <w:rPr>
          <w:sz w:val="26"/>
          <w:szCs w:val="26"/>
          <w:u w:val="none"/>
        </w:rPr>
        <w:t>2021-2026</w:t>
      </w:r>
      <w:r>
        <w:rPr>
          <w:sz w:val="26"/>
          <w:szCs w:val="26"/>
          <w:u w:val="none"/>
        </w:rPr>
        <w:t>）。</w:t>
      </w:r>
    </w:p>
    <w:p w:rsidR="0017447F" w:rsidRDefault="00FF2D72">
      <w:pPr>
        <w:pStyle w:val="20"/>
        <w:snapToGrid w:val="0"/>
        <w:spacing w:after="108" w:line="240" w:lineRule="atLeast"/>
        <w:ind w:left="520" w:hanging="520"/>
        <w:jc w:val="both"/>
      </w:pPr>
      <w:r>
        <w:rPr>
          <w:sz w:val="26"/>
          <w:szCs w:val="26"/>
        </w:rPr>
        <w:t>二、目</w:t>
      </w:r>
      <w:r>
        <w:rPr>
          <w:rFonts w:eastAsia="Times New Roman"/>
          <w:sz w:val="26"/>
          <w:szCs w:val="26"/>
        </w:rPr>
        <w:t xml:space="preserve">    </w:t>
      </w:r>
      <w:r>
        <w:rPr>
          <w:sz w:val="26"/>
          <w:szCs w:val="26"/>
        </w:rPr>
        <w:t>的</w:t>
      </w:r>
    </w:p>
    <w:p w:rsidR="0017447F" w:rsidRDefault="00FF2D72">
      <w:pPr>
        <w:pStyle w:val="3"/>
        <w:spacing w:after="108"/>
        <w:ind w:left="1138" w:hanging="780"/>
        <w:jc w:val="both"/>
      </w:pPr>
      <w:r>
        <w:rPr>
          <w:sz w:val="26"/>
          <w:szCs w:val="26"/>
          <w:u w:val="none"/>
        </w:rPr>
        <w:t>（一）提供資賦優異（以下簡稱資優）學生多元學習及互相觀摩的機會。</w:t>
      </w:r>
    </w:p>
    <w:p w:rsidR="0017447F" w:rsidRDefault="00FF2D72">
      <w:pPr>
        <w:pStyle w:val="3"/>
        <w:spacing w:after="108"/>
        <w:ind w:left="1138" w:hanging="780"/>
        <w:jc w:val="both"/>
      </w:pPr>
      <w:r>
        <w:rPr>
          <w:sz w:val="26"/>
          <w:szCs w:val="26"/>
          <w:u w:val="none"/>
        </w:rPr>
        <w:t>（二）與</w:t>
      </w:r>
      <w:proofErr w:type="gramStart"/>
      <w:r>
        <w:rPr>
          <w:sz w:val="26"/>
          <w:szCs w:val="26"/>
          <w:u w:val="none"/>
        </w:rPr>
        <w:t>各校資優</w:t>
      </w:r>
      <w:proofErr w:type="gramEnd"/>
      <w:r>
        <w:rPr>
          <w:sz w:val="26"/>
          <w:szCs w:val="26"/>
          <w:u w:val="none"/>
        </w:rPr>
        <w:t>教育相輔相成，並引導各校發展資優教育。</w:t>
      </w:r>
    </w:p>
    <w:p w:rsidR="0017447F" w:rsidRDefault="00FF2D72">
      <w:pPr>
        <w:pStyle w:val="3"/>
        <w:spacing w:after="108"/>
        <w:ind w:left="1138" w:hanging="780"/>
        <w:jc w:val="both"/>
      </w:pPr>
      <w:r>
        <w:rPr>
          <w:sz w:val="26"/>
          <w:szCs w:val="26"/>
          <w:u w:val="none"/>
        </w:rPr>
        <w:t>（三）全面性推廣資優教育活動，以發展學生潛能。</w:t>
      </w:r>
    </w:p>
    <w:p w:rsidR="0017447F" w:rsidRDefault="00FF2D72">
      <w:pPr>
        <w:pStyle w:val="3"/>
        <w:spacing w:after="108"/>
        <w:ind w:left="1138" w:hanging="780"/>
        <w:jc w:val="both"/>
        <w:rPr>
          <w:sz w:val="26"/>
          <w:szCs w:val="26"/>
          <w:u w:val="none"/>
        </w:rPr>
      </w:pPr>
      <w:r>
        <w:rPr>
          <w:sz w:val="26"/>
          <w:szCs w:val="26"/>
          <w:u w:val="none"/>
        </w:rPr>
        <w:t>（四）發揮學校群組夥伴關係，共享資優教育資源。</w:t>
      </w:r>
    </w:p>
    <w:p w:rsidR="0017447F" w:rsidRDefault="00FF2D72">
      <w:pPr>
        <w:pStyle w:val="20"/>
        <w:snapToGrid w:val="0"/>
        <w:spacing w:after="108" w:line="240" w:lineRule="atLeast"/>
        <w:ind w:left="520" w:hanging="520"/>
        <w:jc w:val="both"/>
        <w:rPr>
          <w:sz w:val="26"/>
          <w:szCs w:val="26"/>
        </w:rPr>
      </w:pPr>
      <w:r>
        <w:rPr>
          <w:sz w:val="26"/>
          <w:szCs w:val="26"/>
        </w:rPr>
        <w:t>三、辦理單位</w:t>
      </w:r>
    </w:p>
    <w:p w:rsidR="0017447F" w:rsidRDefault="00FF2D72">
      <w:pPr>
        <w:pStyle w:val="3"/>
        <w:spacing w:after="108"/>
        <w:ind w:left="1138" w:hanging="780"/>
        <w:jc w:val="both"/>
        <w:rPr>
          <w:sz w:val="26"/>
          <w:szCs w:val="26"/>
          <w:u w:val="none"/>
        </w:rPr>
      </w:pPr>
      <w:r>
        <w:rPr>
          <w:sz w:val="26"/>
          <w:szCs w:val="26"/>
          <w:u w:val="none"/>
        </w:rPr>
        <w:t>（一）主辦單位：臺北市政府教育局。</w:t>
      </w:r>
    </w:p>
    <w:p w:rsidR="0017447F" w:rsidRDefault="00FF2D72">
      <w:pPr>
        <w:pStyle w:val="3"/>
        <w:spacing w:after="108"/>
        <w:ind w:left="1138" w:hanging="780"/>
        <w:jc w:val="both"/>
        <w:rPr>
          <w:sz w:val="26"/>
          <w:szCs w:val="26"/>
          <w:u w:val="none"/>
        </w:rPr>
      </w:pPr>
      <w:r>
        <w:rPr>
          <w:sz w:val="26"/>
          <w:szCs w:val="26"/>
          <w:u w:val="none"/>
        </w:rPr>
        <w:t>（二）承辦單位：臺北市各級學校。</w:t>
      </w:r>
    </w:p>
    <w:p w:rsidR="0017447F" w:rsidRDefault="00FF2D72">
      <w:pPr>
        <w:pStyle w:val="3"/>
        <w:spacing w:after="108"/>
        <w:ind w:left="1138" w:hanging="780"/>
        <w:jc w:val="both"/>
        <w:rPr>
          <w:sz w:val="26"/>
          <w:szCs w:val="26"/>
          <w:u w:val="none"/>
        </w:rPr>
      </w:pPr>
      <w:r>
        <w:rPr>
          <w:sz w:val="26"/>
          <w:szCs w:val="26"/>
          <w:u w:val="none"/>
        </w:rPr>
        <w:t>（三）協辦單位：臺北市各級學校、各相關單位。</w:t>
      </w:r>
    </w:p>
    <w:p w:rsidR="0017447F" w:rsidRDefault="00FF2D72">
      <w:pPr>
        <w:pStyle w:val="20"/>
        <w:snapToGrid w:val="0"/>
        <w:spacing w:after="108" w:line="240" w:lineRule="atLeast"/>
        <w:ind w:left="556" w:hanging="556"/>
        <w:jc w:val="both"/>
        <w:rPr>
          <w:sz w:val="26"/>
          <w:szCs w:val="26"/>
        </w:rPr>
      </w:pPr>
      <w:r>
        <w:rPr>
          <w:sz w:val="26"/>
          <w:szCs w:val="26"/>
        </w:rPr>
        <w:t>四、辦理區域：將臺北市劃分為東、南、西、北四個區域，各校依據所在區域規劃辦理所屬區域之活動；亦可擴大辦理跨區或全市性活動。</w:t>
      </w:r>
    </w:p>
    <w:p w:rsidR="0017447F" w:rsidRDefault="00FF2D72">
      <w:pPr>
        <w:pStyle w:val="3"/>
        <w:spacing w:after="108"/>
        <w:ind w:left="1138" w:hanging="780"/>
        <w:jc w:val="both"/>
        <w:rPr>
          <w:sz w:val="26"/>
          <w:szCs w:val="26"/>
          <w:u w:val="none"/>
        </w:rPr>
      </w:pPr>
      <w:r>
        <w:rPr>
          <w:sz w:val="26"/>
          <w:szCs w:val="26"/>
          <w:u w:val="none"/>
        </w:rPr>
        <w:t>（一）東區：松山區、內湖區、南港區。</w:t>
      </w:r>
    </w:p>
    <w:p w:rsidR="0017447F" w:rsidRDefault="00FF2D72">
      <w:pPr>
        <w:pStyle w:val="3"/>
        <w:spacing w:after="108"/>
        <w:ind w:left="1138" w:hanging="780"/>
        <w:jc w:val="both"/>
        <w:rPr>
          <w:sz w:val="26"/>
          <w:szCs w:val="26"/>
          <w:u w:val="none"/>
        </w:rPr>
      </w:pPr>
      <w:r>
        <w:rPr>
          <w:sz w:val="26"/>
          <w:szCs w:val="26"/>
          <w:u w:val="none"/>
        </w:rPr>
        <w:t>（二）南區：大安區、信義區、文山區。</w:t>
      </w:r>
    </w:p>
    <w:p w:rsidR="0017447F" w:rsidRDefault="00FF2D72">
      <w:pPr>
        <w:pStyle w:val="3"/>
        <w:spacing w:after="108"/>
        <w:ind w:left="1138" w:hanging="780"/>
        <w:jc w:val="both"/>
        <w:rPr>
          <w:sz w:val="26"/>
          <w:szCs w:val="26"/>
          <w:u w:val="none"/>
        </w:rPr>
      </w:pPr>
      <w:r>
        <w:rPr>
          <w:sz w:val="26"/>
          <w:szCs w:val="26"/>
          <w:u w:val="none"/>
        </w:rPr>
        <w:t>（三）西區：萬華區、大同區、中正區。</w:t>
      </w:r>
    </w:p>
    <w:p w:rsidR="0017447F" w:rsidRDefault="00FF2D72">
      <w:pPr>
        <w:pStyle w:val="3"/>
        <w:spacing w:after="108"/>
        <w:ind w:left="1138" w:hanging="780"/>
        <w:jc w:val="both"/>
        <w:rPr>
          <w:sz w:val="26"/>
          <w:szCs w:val="26"/>
          <w:u w:val="none"/>
        </w:rPr>
      </w:pPr>
      <w:r>
        <w:rPr>
          <w:sz w:val="26"/>
          <w:szCs w:val="26"/>
          <w:u w:val="none"/>
        </w:rPr>
        <w:t>（四）北區：士林區、北投區、中山區。</w:t>
      </w:r>
    </w:p>
    <w:p w:rsidR="0017447F" w:rsidRDefault="00FF2D72">
      <w:pPr>
        <w:pStyle w:val="20"/>
        <w:snapToGrid w:val="0"/>
        <w:spacing w:after="108" w:line="240" w:lineRule="atLeast"/>
        <w:ind w:left="556" w:hanging="556"/>
        <w:jc w:val="both"/>
        <w:rPr>
          <w:sz w:val="26"/>
          <w:szCs w:val="26"/>
        </w:rPr>
      </w:pPr>
      <w:r>
        <w:rPr>
          <w:sz w:val="26"/>
          <w:szCs w:val="26"/>
        </w:rPr>
        <w:t>五、辦理內容：包括一般智能、學術性向、藝術才能、創造能力、領導才能、其他特殊才能等資優教育性質的課程或活動。</w:t>
      </w:r>
    </w:p>
    <w:p w:rsidR="0017447F" w:rsidRDefault="00FF2D72">
      <w:pPr>
        <w:pStyle w:val="20"/>
        <w:snapToGrid w:val="0"/>
        <w:spacing w:after="108" w:line="240" w:lineRule="atLeast"/>
        <w:ind w:left="520" w:hanging="520"/>
        <w:jc w:val="both"/>
        <w:rPr>
          <w:sz w:val="26"/>
          <w:szCs w:val="26"/>
        </w:rPr>
      </w:pPr>
      <w:r>
        <w:rPr>
          <w:sz w:val="26"/>
          <w:szCs w:val="26"/>
        </w:rPr>
        <w:t>六、辦理型態</w:t>
      </w:r>
    </w:p>
    <w:p w:rsidR="0017447F" w:rsidRDefault="00FF2D72">
      <w:pPr>
        <w:pStyle w:val="3"/>
        <w:spacing w:after="108"/>
        <w:ind w:left="1141" w:hanging="781"/>
        <w:jc w:val="both"/>
      </w:pPr>
      <w:r>
        <w:rPr>
          <w:b/>
          <w:sz w:val="26"/>
          <w:szCs w:val="26"/>
          <w:u w:val="none"/>
        </w:rPr>
        <w:t>（一）資優教育課程：</w:t>
      </w:r>
      <w:r>
        <w:rPr>
          <w:sz w:val="26"/>
          <w:szCs w:val="26"/>
          <w:u w:val="none"/>
        </w:rPr>
        <w:t>為延續性、系列性或進階性的資優教育課程</w:t>
      </w:r>
      <w:proofErr w:type="gramStart"/>
      <w:r>
        <w:rPr>
          <w:sz w:val="26"/>
          <w:szCs w:val="26"/>
          <w:u w:val="none"/>
        </w:rPr>
        <w:t>（</w:t>
      </w:r>
      <w:proofErr w:type="gramEnd"/>
      <w:r>
        <w:rPr>
          <w:sz w:val="26"/>
          <w:szCs w:val="26"/>
          <w:u w:val="none"/>
        </w:rPr>
        <w:t>可採每週上課至少一次，且持續一學期以上；或於暑假</w:t>
      </w:r>
      <w:r>
        <w:rPr>
          <w:sz w:val="26"/>
          <w:szCs w:val="26"/>
          <w:u w:val="none"/>
        </w:rPr>
        <w:t>4</w:t>
      </w:r>
      <w:r>
        <w:rPr>
          <w:sz w:val="26"/>
          <w:szCs w:val="26"/>
          <w:u w:val="none"/>
        </w:rPr>
        <w:t>至</w:t>
      </w:r>
      <w:r>
        <w:rPr>
          <w:sz w:val="26"/>
          <w:szCs w:val="26"/>
          <w:u w:val="none"/>
        </w:rPr>
        <w:t>8</w:t>
      </w:r>
      <w:proofErr w:type="gramStart"/>
      <w:r>
        <w:rPr>
          <w:sz w:val="26"/>
          <w:szCs w:val="26"/>
          <w:u w:val="none"/>
        </w:rPr>
        <w:t>週</w:t>
      </w:r>
      <w:proofErr w:type="gramEnd"/>
      <w:r>
        <w:rPr>
          <w:sz w:val="26"/>
          <w:szCs w:val="26"/>
          <w:u w:val="none"/>
        </w:rPr>
        <w:t>期間辦理），每期課程應安排</w:t>
      </w:r>
      <w:r>
        <w:rPr>
          <w:sz w:val="26"/>
          <w:szCs w:val="26"/>
          <w:u w:val="none"/>
        </w:rPr>
        <w:t>36</w:t>
      </w:r>
      <w:r>
        <w:rPr>
          <w:sz w:val="26"/>
          <w:szCs w:val="26"/>
          <w:u w:val="none"/>
        </w:rPr>
        <w:t>節以上。</w:t>
      </w:r>
    </w:p>
    <w:p w:rsidR="0017447F" w:rsidRDefault="00FF2D72">
      <w:pPr>
        <w:pStyle w:val="3"/>
        <w:spacing w:after="108"/>
        <w:ind w:left="1141" w:hanging="781"/>
        <w:jc w:val="both"/>
      </w:pPr>
      <w:r>
        <w:rPr>
          <w:b/>
          <w:sz w:val="26"/>
          <w:szCs w:val="26"/>
          <w:u w:val="none"/>
        </w:rPr>
        <w:t>（二）資優教育活動：</w:t>
      </w:r>
      <w:r>
        <w:rPr>
          <w:sz w:val="26"/>
          <w:szCs w:val="26"/>
          <w:u w:val="none"/>
        </w:rPr>
        <w:t>例如研習活動、競賽活動、展演活動、參訪活動、觀摩活動、營隊</w:t>
      </w:r>
      <w:r>
        <w:rPr>
          <w:sz w:val="26"/>
          <w:szCs w:val="26"/>
          <w:u w:val="none"/>
        </w:rPr>
        <w:t>活動、研究活動、演講活動、校際聯合成果發表會等各類型的資</w:t>
      </w:r>
      <w:r>
        <w:rPr>
          <w:sz w:val="26"/>
          <w:szCs w:val="26"/>
          <w:u w:val="none"/>
        </w:rPr>
        <w:lastRenderedPageBreak/>
        <w:t>優教育活動。</w:t>
      </w:r>
    </w:p>
    <w:p w:rsidR="0017447F" w:rsidRDefault="00FF2D72">
      <w:pPr>
        <w:pStyle w:val="20"/>
        <w:snapToGrid w:val="0"/>
        <w:spacing w:after="108" w:line="240" w:lineRule="atLeast"/>
        <w:ind w:left="556" w:hanging="556"/>
        <w:jc w:val="both"/>
      </w:pPr>
      <w:r>
        <w:rPr>
          <w:sz w:val="26"/>
          <w:szCs w:val="26"/>
        </w:rPr>
        <w:t>七、參加對象：本市各級學校之資優學生（由辦理學校配合資優教育課程或活動之性質，訂定甄選標準）。</w:t>
      </w:r>
    </w:p>
    <w:p w:rsidR="0017447F" w:rsidRDefault="00FF2D72">
      <w:pPr>
        <w:pStyle w:val="20"/>
        <w:snapToGrid w:val="0"/>
        <w:spacing w:after="108" w:line="240" w:lineRule="atLeast"/>
        <w:ind w:left="520" w:hanging="520"/>
        <w:jc w:val="both"/>
        <w:rPr>
          <w:sz w:val="26"/>
          <w:szCs w:val="26"/>
        </w:rPr>
      </w:pPr>
      <w:r>
        <w:rPr>
          <w:sz w:val="26"/>
          <w:szCs w:val="26"/>
        </w:rPr>
        <w:t>八、辦理期間：週末假日、寒假、暑假及國小週三下午。</w:t>
      </w:r>
    </w:p>
    <w:p w:rsidR="0017447F" w:rsidRDefault="00FF2D72">
      <w:pPr>
        <w:pStyle w:val="20"/>
        <w:snapToGrid w:val="0"/>
        <w:spacing w:after="108" w:line="240" w:lineRule="atLeast"/>
        <w:ind w:left="556" w:hanging="556"/>
        <w:jc w:val="both"/>
      </w:pPr>
      <w:r>
        <w:rPr>
          <w:sz w:val="26"/>
          <w:szCs w:val="26"/>
        </w:rPr>
        <w:t>九、辦理經費：由學生自付活動經費至少百分之二十，不足部分由教育部國民及學前教育署（以下簡稱國教署）或教育局補助，補助標準如下：</w:t>
      </w:r>
    </w:p>
    <w:p w:rsidR="0017447F" w:rsidRDefault="00FF2D72">
      <w:pPr>
        <w:pStyle w:val="3"/>
        <w:spacing w:after="108"/>
        <w:ind w:left="1138" w:hanging="780"/>
        <w:jc w:val="both"/>
      </w:pPr>
      <w:r>
        <w:rPr>
          <w:sz w:val="26"/>
          <w:szCs w:val="26"/>
          <w:u w:val="none"/>
        </w:rPr>
        <w:t>（一）資優教育課程：</w:t>
      </w:r>
      <w:r>
        <w:rPr>
          <w:sz w:val="26"/>
          <w:szCs w:val="26"/>
          <w:u w:val="none"/>
        </w:rPr>
        <w:t>36</w:t>
      </w:r>
      <w:r>
        <w:rPr>
          <w:sz w:val="26"/>
          <w:szCs w:val="26"/>
          <w:u w:val="none"/>
        </w:rPr>
        <w:t>節課至多補助新臺幣陸萬元，每增加</w:t>
      </w:r>
      <w:r>
        <w:rPr>
          <w:sz w:val="26"/>
          <w:szCs w:val="26"/>
          <w:u w:val="none"/>
        </w:rPr>
        <w:t>18</w:t>
      </w:r>
      <w:r>
        <w:rPr>
          <w:sz w:val="26"/>
          <w:szCs w:val="26"/>
          <w:u w:val="none"/>
        </w:rPr>
        <w:t>節課至多增加新臺幣貳萬伍仟元，最多補助</w:t>
      </w:r>
      <w:r>
        <w:rPr>
          <w:sz w:val="26"/>
          <w:szCs w:val="26"/>
          <w:u w:val="none"/>
        </w:rPr>
        <w:t>144</w:t>
      </w:r>
      <w:r>
        <w:rPr>
          <w:sz w:val="26"/>
          <w:szCs w:val="26"/>
          <w:u w:val="none"/>
        </w:rPr>
        <w:t>節課。另酌量補助新臺幣壹萬元，辦理成果發表會，探討課程實施之成效。</w:t>
      </w:r>
    </w:p>
    <w:p w:rsidR="0017447F" w:rsidRDefault="00FF2D72">
      <w:pPr>
        <w:pStyle w:val="3"/>
        <w:spacing w:after="108"/>
        <w:ind w:left="1138" w:hanging="780"/>
        <w:jc w:val="both"/>
      </w:pPr>
      <w:r>
        <w:rPr>
          <w:sz w:val="26"/>
          <w:szCs w:val="26"/>
          <w:u w:val="none"/>
        </w:rPr>
        <w:t>（二）資優教育活動：最高額度新臺幣伍萬元。</w:t>
      </w:r>
    </w:p>
    <w:p w:rsidR="0017447F" w:rsidRDefault="00FF2D72">
      <w:pPr>
        <w:pStyle w:val="20"/>
        <w:snapToGrid w:val="0"/>
        <w:spacing w:after="108" w:line="240" w:lineRule="atLeast"/>
        <w:ind w:left="520" w:hanging="520"/>
        <w:jc w:val="both"/>
        <w:rPr>
          <w:rFonts w:ascii="Book Antiqua" w:hAnsi="Book Antiqua" w:cs="標楷體"/>
          <w:sz w:val="26"/>
          <w:szCs w:val="26"/>
        </w:rPr>
      </w:pPr>
      <w:r>
        <w:rPr>
          <w:rFonts w:ascii="Book Antiqua" w:hAnsi="Book Antiqua" w:cs="標楷體"/>
          <w:sz w:val="26"/>
          <w:szCs w:val="26"/>
        </w:rPr>
        <w:t>十、申辦程序</w:t>
      </w:r>
    </w:p>
    <w:p w:rsidR="0017447F" w:rsidRDefault="00FF2D72">
      <w:pPr>
        <w:pStyle w:val="3"/>
        <w:spacing w:after="108"/>
        <w:ind w:left="1138" w:hanging="780"/>
        <w:jc w:val="both"/>
      </w:pPr>
      <w:r>
        <w:rPr>
          <w:rFonts w:ascii="Book Antiqua" w:hAnsi="Book Antiqua" w:cs="標楷體"/>
          <w:sz w:val="26"/>
          <w:szCs w:val="26"/>
          <w:u w:val="none"/>
        </w:rPr>
        <w:t>（一）各校於</w:t>
      </w:r>
      <w:r>
        <w:rPr>
          <w:rFonts w:ascii="Book Antiqua" w:hAnsi="Book Antiqua" w:cs="標楷體"/>
          <w:b/>
          <w:sz w:val="26"/>
          <w:szCs w:val="26"/>
          <w:u w:val="none"/>
        </w:rPr>
        <w:t>10</w:t>
      </w:r>
      <w:r>
        <w:rPr>
          <w:rFonts w:ascii="Book Antiqua" w:hAnsi="Book Antiqua" w:cs="標楷體"/>
          <w:b/>
          <w:sz w:val="26"/>
          <w:szCs w:val="26"/>
          <w:u w:val="none"/>
        </w:rPr>
        <w:t>月</w:t>
      </w:r>
      <w:r>
        <w:rPr>
          <w:rFonts w:ascii="Book Antiqua" w:hAnsi="Book Antiqua" w:cs="標楷體"/>
          <w:b/>
          <w:sz w:val="26"/>
          <w:szCs w:val="26"/>
          <w:u w:val="none"/>
        </w:rPr>
        <w:t>15</w:t>
      </w:r>
      <w:r>
        <w:rPr>
          <w:rFonts w:ascii="Book Antiqua" w:hAnsi="Book Antiqua" w:cs="標楷體"/>
          <w:b/>
          <w:sz w:val="26"/>
          <w:szCs w:val="26"/>
          <w:u w:val="none"/>
        </w:rPr>
        <w:t>日</w:t>
      </w:r>
      <w:r>
        <w:rPr>
          <w:rFonts w:ascii="Book Antiqua" w:hAnsi="Book Antiqua" w:cs="標楷體"/>
          <w:sz w:val="26"/>
          <w:szCs w:val="26"/>
          <w:u w:val="none"/>
        </w:rPr>
        <w:t>前檢附申請書向教育局提出申請</w:t>
      </w:r>
      <w:proofErr w:type="gramStart"/>
      <w:r>
        <w:rPr>
          <w:rFonts w:ascii="Book Antiqua" w:hAnsi="Book Antiqua" w:cs="標楷體"/>
          <w:sz w:val="26"/>
          <w:szCs w:val="26"/>
          <w:u w:val="none"/>
        </w:rPr>
        <w:t>（</w:t>
      </w:r>
      <w:proofErr w:type="gramEnd"/>
      <w:r>
        <w:rPr>
          <w:rFonts w:ascii="Book Antiqua" w:hAnsi="Book Antiqua" w:cs="標楷體"/>
          <w:sz w:val="26"/>
          <w:szCs w:val="26"/>
          <w:u w:val="none"/>
        </w:rPr>
        <w:t>一般智能、學術性向、藝術才能類方案申請書，如附件一；創造能力、領導才能、其他特殊才能類方案申請書，如附件二；</w:t>
      </w:r>
      <w:r>
        <w:rPr>
          <w:sz w:val="26"/>
          <w:szCs w:val="26"/>
          <w:u w:val="none"/>
        </w:rPr>
        <w:t>經費編列，請參照附件三</w:t>
      </w:r>
      <w:proofErr w:type="gramStart"/>
      <w:r>
        <w:rPr>
          <w:rFonts w:ascii="Book Antiqua" w:hAnsi="Book Antiqua" w:cs="標楷體"/>
          <w:sz w:val="26"/>
          <w:szCs w:val="26"/>
          <w:u w:val="none"/>
        </w:rPr>
        <w:t>）</w:t>
      </w:r>
      <w:proofErr w:type="gramEnd"/>
      <w:r>
        <w:rPr>
          <w:rFonts w:ascii="Book Antiqua" w:hAnsi="Book Antiqua" w:cs="標楷體"/>
          <w:sz w:val="26"/>
          <w:szCs w:val="26"/>
          <w:u w:val="none"/>
        </w:rPr>
        <w:t>。</w:t>
      </w:r>
    </w:p>
    <w:p w:rsidR="0017447F" w:rsidRDefault="00FF2D72">
      <w:pPr>
        <w:pStyle w:val="3"/>
        <w:spacing w:after="108"/>
        <w:ind w:left="1138" w:hanging="780"/>
        <w:jc w:val="both"/>
      </w:pPr>
      <w:r>
        <w:rPr>
          <w:rFonts w:ascii="Book Antiqua" w:hAnsi="Book Antiqua" w:cs="標楷體"/>
          <w:sz w:val="26"/>
          <w:szCs w:val="26"/>
          <w:u w:val="none"/>
        </w:rPr>
        <w:t>（二）教育局依審查指標檢核表（如附件</w:t>
      </w:r>
      <w:r>
        <w:rPr>
          <w:sz w:val="26"/>
          <w:szCs w:val="26"/>
          <w:u w:val="none"/>
        </w:rPr>
        <w:t>四</w:t>
      </w:r>
      <w:r>
        <w:rPr>
          <w:rFonts w:ascii="Book Antiqua" w:hAnsi="Book Antiqua" w:cs="標楷體"/>
          <w:sz w:val="26"/>
          <w:szCs w:val="26"/>
          <w:u w:val="none"/>
        </w:rPr>
        <w:t>）辦理初審，並將初審結果函報國教署辦理</w:t>
      </w:r>
      <w:proofErr w:type="gramStart"/>
      <w:r>
        <w:rPr>
          <w:rFonts w:ascii="Book Antiqua" w:hAnsi="Book Antiqua" w:cs="標楷體"/>
          <w:sz w:val="26"/>
          <w:szCs w:val="26"/>
          <w:u w:val="none"/>
        </w:rPr>
        <w:t>複</w:t>
      </w:r>
      <w:proofErr w:type="gramEnd"/>
      <w:r>
        <w:rPr>
          <w:rFonts w:ascii="Book Antiqua" w:hAnsi="Book Antiqua" w:cs="標楷體"/>
          <w:sz w:val="26"/>
          <w:szCs w:val="26"/>
          <w:u w:val="none"/>
        </w:rPr>
        <w:t>審；經國教署</w:t>
      </w:r>
      <w:proofErr w:type="gramStart"/>
      <w:r>
        <w:rPr>
          <w:rFonts w:ascii="Book Antiqua" w:hAnsi="Book Antiqua" w:cs="標楷體"/>
          <w:sz w:val="26"/>
          <w:szCs w:val="26"/>
          <w:u w:val="none"/>
        </w:rPr>
        <w:t>複</w:t>
      </w:r>
      <w:proofErr w:type="gramEnd"/>
      <w:r>
        <w:rPr>
          <w:rFonts w:ascii="Book Antiqua" w:hAnsi="Book Antiqua" w:cs="標楷體"/>
          <w:sz w:val="26"/>
          <w:szCs w:val="26"/>
          <w:u w:val="none"/>
        </w:rPr>
        <w:t>審通過後，通知各校辦理。</w:t>
      </w:r>
    </w:p>
    <w:p w:rsidR="0017447F" w:rsidRDefault="00FF2D72">
      <w:pPr>
        <w:pStyle w:val="20"/>
        <w:snapToGrid w:val="0"/>
        <w:spacing w:after="108" w:line="240" w:lineRule="atLeast"/>
        <w:ind w:left="520" w:hanging="520"/>
        <w:jc w:val="both"/>
      </w:pPr>
      <w:r>
        <w:rPr>
          <w:rFonts w:ascii="Book Antiqua" w:hAnsi="Book Antiqua" w:cs="標楷體"/>
          <w:sz w:val="26"/>
          <w:szCs w:val="26"/>
        </w:rPr>
        <w:t>十一、獎</w:t>
      </w:r>
      <w:r>
        <w:rPr>
          <w:rFonts w:ascii="Book Antiqua" w:eastAsia="Book Antiqua" w:hAnsi="Book Antiqua" w:cs="Book Antiqua"/>
          <w:sz w:val="26"/>
          <w:szCs w:val="26"/>
        </w:rPr>
        <w:t xml:space="preserve">    </w:t>
      </w:r>
      <w:proofErr w:type="gramStart"/>
      <w:r>
        <w:rPr>
          <w:rFonts w:ascii="Book Antiqua" w:hAnsi="Book Antiqua" w:cs="標楷體"/>
          <w:sz w:val="26"/>
          <w:szCs w:val="26"/>
        </w:rPr>
        <w:t>勵</w:t>
      </w:r>
      <w:proofErr w:type="gramEnd"/>
      <w:r>
        <w:rPr>
          <w:rFonts w:ascii="Book Antiqua" w:hAnsi="Book Antiqua" w:cs="標楷體"/>
          <w:sz w:val="26"/>
          <w:szCs w:val="26"/>
        </w:rPr>
        <w:t>：承辦學校於活動結束後參照下列額度依權責自行辦理敘獎。</w:t>
      </w:r>
    </w:p>
    <w:p w:rsidR="0017447F" w:rsidRDefault="00FF2D72">
      <w:pPr>
        <w:pStyle w:val="3"/>
        <w:spacing w:after="108"/>
        <w:ind w:left="1138" w:hanging="780"/>
        <w:jc w:val="both"/>
      </w:pPr>
      <w:r>
        <w:rPr>
          <w:rFonts w:ascii="Book Antiqua" w:hAnsi="Book Antiqua" w:cs="標楷體"/>
          <w:sz w:val="26"/>
          <w:szCs w:val="26"/>
          <w:u w:val="none"/>
        </w:rPr>
        <w:t>（一）</w:t>
      </w:r>
      <w:r>
        <w:rPr>
          <w:rFonts w:ascii="Book Antiqua" w:hAnsi="Book Antiqua" w:cs="Book Antiqua"/>
          <w:sz w:val="26"/>
          <w:szCs w:val="26"/>
          <w:u w:val="none"/>
        </w:rPr>
        <w:t>12</w:t>
      </w:r>
      <w:r>
        <w:rPr>
          <w:rFonts w:ascii="Book Antiqua" w:hAnsi="Book Antiqua" w:cs="標楷體"/>
          <w:sz w:val="26"/>
          <w:szCs w:val="26"/>
          <w:u w:val="none"/>
        </w:rPr>
        <w:t>小時以內之活動，敘嘉獎二次</w:t>
      </w:r>
      <w:r>
        <w:rPr>
          <w:rFonts w:ascii="Book Antiqua" w:hAnsi="Book Antiqua" w:cs="Book Antiqua"/>
          <w:sz w:val="26"/>
          <w:szCs w:val="26"/>
          <w:u w:val="none"/>
        </w:rPr>
        <w:t>1</w:t>
      </w:r>
      <w:r>
        <w:rPr>
          <w:rFonts w:ascii="Book Antiqua" w:hAnsi="Book Antiqua" w:cs="標楷體"/>
          <w:sz w:val="26"/>
          <w:szCs w:val="26"/>
          <w:u w:val="none"/>
        </w:rPr>
        <w:t>人、嘉獎乙次</w:t>
      </w:r>
      <w:r>
        <w:rPr>
          <w:rFonts w:ascii="Book Antiqua" w:hAnsi="Book Antiqua" w:cs="Book Antiqua"/>
          <w:sz w:val="26"/>
          <w:szCs w:val="26"/>
          <w:u w:val="none"/>
        </w:rPr>
        <w:t>4</w:t>
      </w:r>
      <w:r>
        <w:rPr>
          <w:rFonts w:ascii="Book Antiqua" w:hAnsi="Book Antiqua" w:cs="標楷體"/>
          <w:sz w:val="26"/>
          <w:szCs w:val="26"/>
          <w:u w:val="none"/>
        </w:rPr>
        <w:t>人。</w:t>
      </w:r>
    </w:p>
    <w:p w:rsidR="0017447F" w:rsidRDefault="00FF2D72">
      <w:pPr>
        <w:pStyle w:val="3"/>
        <w:spacing w:after="108"/>
        <w:ind w:left="1138" w:hanging="780"/>
        <w:jc w:val="both"/>
      </w:pPr>
      <w:r>
        <w:rPr>
          <w:rFonts w:ascii="Book Antiqua" w:hAnsi="Book Antiqua" w:cs="標楷體"/>
          <w:sz w:val="26"/>
          <w:szCs w:val="26"/>
          <w:u w:val="none"/>
        </w:rPr>
        <w:t>（二）</w:t>
      </w:r>
      <w:r>
        <w:rPr>
          <w:rFonts w:ascii="Book Antiqua" w:hAnsi="Book Antiqua" w:cs="Book Antiqua"/>
          <w:sz w:val="26"/>
          <w:szCs w:val="26"/>
          <w:u w:val="none"/>
        </w:rPr>
        <w:t>18</w:t>
      </w:r>
      <w:r>
        <w:rPr>
          <w:rFonts w:ascii="Book Antiqua" w:hAnsi="Book Antiqua" w:cs="標楷體"/>
          <w:sz w:val="26"/>
          <w:szCs w:val="26"/>
          <w:u w:val="none"/>
        </w:rPr>
        <w:t>小時以內之活動，敘嘉獎二次</w:t>
      </w:r>
      <w:r>
        <w:rPr>
          <w:rFonts w:ascii="Book Antiqua" w:hAnsi="Book Antiqua" w:cs="Book Antiqua"/>
          <w:sz w:val="26"/>
          <w:szCs w:val="26"/>
          <w:u w:val="none"/>
        </w:rPr>
        <w:t>1</w:t>
      </w:r>
      <w:r>
        <w:rPr>
          <w:rFonts w:ascii="Book Antiqua" w:hAnsi="Book Antiqua" w:cs="標楷體"/>
          <w:sz w:val="26"/>
          <w:szCs w:val="26"/>
          <w:u w:val="none"/>
        </w:rPr>
        <w:t>人、嘉獎乙次</w:t>
      </w:r>
      <w:r>
        <w:rPr>
          <w:rFonts w:ascii="Book Antiqua" w:hAnsi="Book Antiqua" w:cs="Book Antiqua"/>
          <w:sz w:val="26"/>
          <w:szCs w:val="26"/>
          <w:u w:val="none"/>
        </w:rPr>
        <w:t>6</w:t>
      </w:r>
      <w:r>
        <w:rPr>
          <w:rFonts w:ascii="Book Antiqua" w:hAnsi="Book Antiqua" w:cs="標楷體"/>
          <w:sz w:val="26"/>
          <w:szCs w:val="26"/>
          <w:u w:val="none"/>
        </w:rPr>
        <w:t>人。</w:t>
      </w:r>
    </w:p>
    <w:p w:rsidR="0017447F" w:rsidRDefault="00FF2D72">
      <w:pPr>
        <w:pStyle w:val="3"/>
        <w:spacing w:after="108"/>
        <w:ind w:left="1138" w:hanging="780"/>
        <w:jc w:val="both"/>
      </w:pPr>
      <w:r>
        <w:rPr>
          <w:rFonts w:ascii="Book Antiqua" w:hAnsi="Book Antiqua" w:cs="標楷體"/>
          <w:sz w:val="26"/>
          <w:szCs w:val="26"/>
          <w:u w:val="none"/>
        </w:rPr>
        <w:t>（三）</w:t>
      </w:r>
      <w:r>
        <w:rPr>
          <w:rFonts w:ascii="Book Antiqua" w:hAnsi="Book Antiqua" w:cs="Book Antiqua"/>
          <w:sz w:val="26"/>
          <w:szCs w:val="26"/>
          <w:u w:val="none"/>
        </w:rPr>
        <w:t>24</w:t>
      </w:r>
      <w:r>
        <w:rPr>
          <w:rFonts w:ascii="Book Antiqua" w:hAnsi="Book Antiqua" w:cs="標楷體"/>
          <w:sz w:val="26"/>
          <w:szCs w:val="26"/>
          <w:u w:val="none"/>
        </w:rPr>
        <w:t>小時以內之活動，敘嘉獎二次</w:t>
      </w:r>
      <w:r>
        <w:rPr>
          <w:rFonts w:ascii="Book Antiqua" w:hAnsi="Book Antiqua" w:cs="Book Antiqua"/>
          <w:sz w:val="26"/>
          <w:szCs w:val="26"/>
          <w:u w:val="none"/>
        </w:rPr>
        <w:t>1</w:t>
      </w:r>
      <w:r>
        <w:rPr>
          <w:rFonts w:ascii="Book Antiqua" w:hAnsi="Book Antiqua" w:cs="標楷體"/>
          <w:sz w:val="26"/>
          <w:szCs w:val="26"/>
          <w:u w:val="none"/>
        </w:rPr>
        <w:t>人、嘉獎乙次</w:t>
      </w:r>
      <w:r>
        <w:rPr>
          <w:rFonts w:ascii="Book Antiqua" w:hAnsi="Book Antiqua" w:cs="Book Antiqua"/>
          <w:sz w:val="26"/>
          <w:szCs w:val="26"/>
          <w:u w:val="none"/>
        </w:rPr>
        <w:t>8</w:t>
      </w:r>
      <w:r>
        <w:rPr>
          <w:rFonts w:ascii="Book Antiqua" w:hAnsi="Book Antiqua" w:cs="標楷體"/>
          <w:sz w:val="26"/>
          <w:szCs w:val="26"/>
          <w:u w:val="none"/>
        </w:rPr>
        <w:t>人。</w:t>
      </w:r>
    </w:p>
    <w:p w:rsidR="0017447F" w:rsidRDefault="00FF2D72">
      <w:pPr>
        <w:pStyle w:val="3"/>
        <w:spacing w:after="108"/>
        <w:ind w:left="1138" w:hanging="780"/>
        <w:jc w:val="both"/>
      </w:pPr>
      <w:r>
        <w:rPr>
          <w:rFonts w:ascii="Book Antiqua" w:hAnsi="Book Antiqua" w:cs="標楷體"/>
          <w:sz w:val="26"/>
          <w:szCs w:val="26"/>
          <w:u w:val="none"/>
        </w:rPr>
        <w:t>（四）</w:t>
      </w:r>
      <w:r>
        <w:rPr>
          <w:rFonts w:ascii="Book Antiqua" w:hAnsi="Book Antiqua" w:cs="Book Antiqua"/>
          <w:sz w:val="26"/>
          <w:szCs w:val="26"/>
          <w:u w:val="none"/>
        </w:rPr>
        <w:t>36</w:t>
      </w:r>
      <w:r>
        <w:rPr>
          <w:rFonts w:ascii="Book Antiqua" w:hAnsi="Book Antiqua" w:cs="標楷體"/>
          <w:sz w:val="26"/>
          <w:szCs w:val="26"/>
          <w:u w:val="none"/>
        </w:rPr>
        <w:t>小時以內之課程與活動，敘嘉獎二次</w:t>
      </w:r>
      <w:r>
        <w:rPr>
          <w:rFonts w:ascii="Book Antiqua" w:hAnsi="Book Antiqua" w:cs="Book Antiqua"/>
          <w:sz w:val="26"/>
          <w:szCs w:val="26"/>
          <w:u w:val="none"/>
        </w:rPr>
        <w:t>1</w:t>
      </w:r>
      <w:r>
        <w:rPr>
          <w:rFonts w:ascii="Book Antiqua" w:hAnsi="Book Antiqua" w:cs="標楷體"/>
          <w:sz w:val="26"/>
          <w:szCs w:val="26"/>
          <w:u w:val="none"/>
        </w:rPr>
        <w:t>人、嘉獎乙次</w:t>
      </w:r>
      <w:r>
        <w:rPr>
          <w:rFonts w:ascii="Book Antiqua" w:hAnsi="Book Antiqua" w:cs="Book Antiqua"/>
          <w:sz w:val="26"/>
          <w:szCs w:val="26"/>
          <w:u w:val="none"/>
        </w:rPr>
        <w:t>10</w:t>
      </w:r>
      <w:r>
        <w:rPr>
          <w:rFonts w:ascii="Book Antiqua" w:hAnsi="Book Antiqua" w:cs="標楷體"/>
          <w:sz w:val="26"/>
          <w:szCs w:val="26"/>
          <w:u w:val="none"/>
        </w:rPr>
        <w:t>人。</w:t>
      </w:r>
    </w:p>
    <w:p w:rsidR="0017447F" w:rsidRDefault="00FF2D72">
      <w:pPr>
        <w:pStyle w:val="3"/>
        <w:spacing w:after="108"/>
        <w:ind w:left="1138" w:hanging="780"/>
        <w:jc w:val="both"/>
      </w:pPr>
      <w:r>
        <w:rPr>
          <w:rFonts w:ascii="Book Antiqua" w:hAnsi="Book Antiqua" w:cs="標楷體"/>
          <w:sz w:val="26"/>
          <w:szCs w:val="26"/>
          <w:u w:val="none"/>
        </w:rPr>
        <w:t>（五）</w:t>
      </w:r>
      <w:r>
        <w:rPr>
          <w:rFonts w:ascii="Book Antiqua" w:hAnsi="Book Antiqua" w:cs="Book Antiqua"/>
          <w:sz w:val="26"/>
          <w:szCs w:val="26"/>
          <w:u w:val="none"/>
        </w:rPr>
        <w:t>72</w:t>
      </w:r>
      <w:r>
        <w:rPr>
          <w:rFonts w:ascii="Book Antiqua" w:hAnsi="Book Antiqua" w:cs="標楷體"/>
          <w:sz w:val="26"/>
          <w:szCs w:val="26"/>
          <w:u w:val="none"/>
        </w:rPr>
        <w:t>小時以內之課程與活動，敘嘉獎二次</w:t>
      </w:r>
      <w:r>
        <w:rPr>
          <w:rFonts w:ascii="Book Antiqua" w:hAnsi="Book Antiqua" w:cs="Book Antiqua"/>
          <w:sz w:val="26"/>
          <w:szCs w:val="26"/>
          <w:u w:val="none"/>
        </w:rPr>
        <w:t>2</w:t>
      </w:r>
      <w:r>
        <w:rPr>
          <w:rFonts w:ascii="Book Antiqua" w:hAnsi="Book Antiqua" w:cs="標楷體"/>
          <w:sz w:val="26"/>
          <w:szCs w:val="26"/>
          <w:u w:val="none"/>
        </w:rPr>
        <w:t>人、嘉獎乙次</w:t>
      </w:r>
      <w:r>
        <w:rPr>
          <w:rFonts w:ascii="Book Antiqua" w:hAnsi="Book Antiqua" w:cs="Book Antiqua"/>
          <w:sz w:val="26"/>
          <w:szCs w:val="26"/>
          <w:u w:val="none"/>
        </w:rPr>
        <w:t>10</w:t>
      </w:r>
      <w:r>
        <w:rPr>
          <w:rFonts w:ascii="Book Antiqua" w:hAnsi="Book Antiqua" w:cs="標楷體"/>
          <w:sz w:val="26"/>
          <w:szCs w:val="26"/>
          <w:u w:val="none"/>
        </w:rPr>
        <w:t>人。</w:t>
      </w:r>
    </w:p>
    <w:p w:rsidR="0017447F" w:rsidRDefault="00FF2D72">
      <w:pPr>
        <w:pStyle w:val="3"/>
        <w:spacing w:after="108"/>
        <w:ind w:left="1138" w:hanging="780"/>
        <w:jc w:val="both"/>
      </w:pPr>
      <w:r>
        <w:rPr>
          <w:rFonts w:ascii="Book Antiqua" w:hAnsi="Book Antiqua" w:cs="標楷體"/>
          <w:sz w:val="26"/>
          <w:szCs w:val="26"/>
          <w:u w:val="none"/>
        </w:rPr>
        <w:t>（六）</w:t>
      </w:r>
      <w:r>
        <w:rPr>
          <w:rFonts w:ascii="Book Antiqua" w:hAnsi="Book Antiqua" w:cs="Book Antiqua"/>
          <w:sz w:val="26"/>
          <w:szCs w:val="26"/>
          <w:u w:val="none"/>
        </w:rPr>
        <w:t>144</w:t>
      </w:r>
      <w:r>
        <w:rPr>
          <w:rFonts w:ascii="Book Antiqua" w:hAnsi="Book Antiqua" w:cs="標楷體"/>
          <w:sz w:val="26"/>
          <w:szCs w:val="26"/>
          <w:u w:val="none"/>
        </w:rPr>
        <w:t>小時以內之課程與活動，敘嘉獎二次</w:t>
      </w:r>
      <w:r>
        <w:rPr>
          <w:rFonts w:ascii="Book Antiqua" w:hAnsi="Book Antiqua" w:cs="Book Antiqua"/>
          <w:sz w:val="26"/>
          <w:szCs w:val="26"/>
          <w:u w:val="none"/>
        </w:rPr>
        <w:t>3</w:t>
      </w:r>
      <w:r>
        <w:rPr>
          <w:rFonts w:ascii="Book Antiqua" w:hAnsi="Book Antiqua" w:cs="標楷體"/>
          <w:sz w:val="26"/>
          <w:szCs w:val="26"/>
          <w:u w:val="none"/>
        </w:rPr>
        <w:t>人、嘉獎乙次</w:t>
      </w:r>
      <w:r>
        <w:rPr>
          <w:rFonts w:ascii="Book Antiqua" w:hAnsi="Book Antiqua" w:cs="Book Antiqua"/>
          <w:sz w:val="26"/>
          <w:szCs w:val="26"/>
          <w:u w:val="none"/>
        </w:rPr>
        <w:t>10</w:t>
      </w:r>
      <w:r>
        <w:rPr>
          <w:rFonts w:ascii="Book Antiqua" w:hAnsi="Book Antiqua" w:cs="標楷體"/>
          <w:sz w:val="26"/>
          <w:szCs w:val="26"/>
          <w:u w:val="none"/>
        </w:rPr>
        <w:t>人。</w:t>
      </w:r>
    </w:p>
    <w:p w:rsidR="0017447F" w:rsidRDefault="00FF2D72">
      <w:pPr>
        <w:pStyle w:val="20"/>
        <w:snapToGrid w:val="0"/>
        <w:spacing w:after="108" w:line="240" w:lineRule="atLeast"/>
        <w:ind w:left="520" w:hanging="520"/>
        <w:jc w:val="both"/>
      </w:pPr>
      <w:r>
        <w:rPr>
          <w:rFonts w:ascii="Book Antiqua" w:hAnsi="Book Antiqua" w:cs="標楷體"/>
          <w:sz w:val="26"/>
          <w:szCs w:val="26"/>
        </w:rPr>
        <w:t>十二、其</w:t>
      </w:r>
      <w:r>
        <w:rPr>
          <w:rFonts w:ascii="Book Antiqua" w:eastAsia="Book Antiqua" w:hAnsi="Book Antiqua" w:cs="Book Antiqua"/>
          <w:sz w:val="26"/>
          <w:szCs w:val="26"/>
        </w:rPr>
        <w:t xml:space="preserve">    </w:t>
      </w:r>
      <w:r>
        <w:rPr>
          <w:rFonts w:ascii="Book Antiqua" w:hAnsi="Book Antiqua" w:cs="標楷體"/>
          <w:sz w:val="26"/>
          <w:szCs w:val="26"/>
        </w:rPr>
        <w:t>他</w:t>
      </w:r>
    </w:p>
    <w:p w:rsidR="0017447F" w:rsidRDefault="00FF2D72">
      <w:pPr>
        <w:pStyle w:val="3"/>
        <w:spacing w:after="108"/>
        <w:ind w:left="1138" w:hanging="780"/>
        <w:jc w:val="both"/>
        <w:rPr>
          <w:sz w:val="26"/>
          <w:szCs w:val="26"/>
          <w:u w:val="none"/>
        </w:rPr>
      </w:pPr>
      <w:r>
        <w:rPr>
          <w:sz w:val="26"/>
          <w:szCs w:val="26"/>
          <w:u w:val="none"/>
        </w:rPr>
        <w:t>（一）資優教育課程或活動結束後，由承辦單位發給學習證明或競賽獎勵證明。</w:t>
      </w:r>
    </w:p>
    <w:p w:rsidR="0017447F" w:rsidRDefault="00FF2D72">
      <w:pPr>
        <w:pStyle w:val="3"/>
        <w:spacing w:after="108"/>
        <w:ind w:left="1138" w:hanging="780"/>
        <w:jc w:val="both"/>
      </w:pPr>
      <w:r>
        <w:rPr>
          <w:sz w:val="26"/>
          <w:szCs w:val="26"/>
          <w:u w:val="none"/>
        </w:rPr>
        <w:t>（二）為鼓勵延續性、系列性或進階性的學習，申請資優教育課程者優先補助；另為鼓勵多元資優教育發展，申請辦理創造能力、領導能力及其他特殊才能表現等三類資優教育課程或活動者優先補助。</w:t>
      </w:r>
    </w:p>
    <w:p w:rsidR="0017447F" w:rsidRDefault="00FF2D72">
      <w:pPr>
        <w:pStyle w:val="3"/>
        <w:spacing w:after="108"/>
        <w:ind w:left="1138" w:hanging="780"/>
        <w:jc w:val="both"/>
        <w:rPr>
          <w:sz w:val="26"/>
          <w:szCs w:val="26"/>
          <w:u w:val="none"/>
        </w:rPr>
      </w:pPr>
      <w:r>
        <w:rPr>
          <w:sz w:val="26"/>
          <w:szCs w:val="26"/>
          <w:u w:val="none"/>
        </w:rPr>
        <w:t>（三）</w:t>
      </w:r>
      <w:proofErr w:type="gramStart"/>
      <w:r>
        <w:rPr>
          <w:sz w:val="26"/>
          <w:szCs w:val="26"/>
          <w:u w:val="none"/>
        </w:rPr>
        <w:t>教育局依資優</w:t>
      </w:r>
      <w:proofErr w:type="gramEnd"/>
      <w:r>
        <w:rPr>
          <w:sz w:val="26"/>
          <w:szCs w:val="26"/>
          <w:u w:val="none"/>
        </w:rPr>
        <w:t>教育之需要，得主動委託學校規劃辦理特定之課程或活動。</w:t>
      </w:r>
    </w:p>
    <w:p w:rsidR="0017447F" w:rsidRDefault="00FF2D72">
      <w:pPr>
        <w:pStyle w:val="3"/>
        <w:spacing w:after="108"/>
        <w:ind w:left="1138" w:hanging="780"/>
        <w:jc w:val="both"/>
        <w:rPr>
          <w:sz w:val="26"/>
          <w:szCs w:val="26"/>
          <w:u w:val="none"/>
        </w:rPr>
      </w:pPr>
      <w:r>
        <w:rPr>
          <w:sz w:val="26"/>
          <w:szCs w:val="26"/>
          <w:u w:val="none"/>
        </w:rPr>
        <w:t>（四）各校辦理之課程或活動，具特色且影響深遠者，得由本局專案獎勵。</w:t>
      </w:r>
    </w:p>
    <w:p w:rsidR="0017447F" w:rsidRDefault="00FF2D72">
      <w:pPr>
        <w:pStyle w:val="3"/>
        <w:spacing w:after="108"/>
        <w:ind w:left="1138" w:hanging="780"/>
        <w:jc w:val="both"/>
      </w:pPr>
      <w:r>
        <w:rPr>
          <w:sz w:val="26"/>
          <w:szCs w:val="26"/>
          <w:u w:val="none"/>
        </w:rPr>
        <w:t>（五）為鼓勵學校申辦區域性資優方案，承辦學校得保留方案三分之一名額供校內學生參與。</w:t>
      </w:r>
    </w:p>
    <w:p w:rsidR="0017447F" w:rsidRDefault="00FF2D72">
      <w:pPr>
        <w:pStyle w:val="20"/>
        <w:snapToGrid w:val="0"/>
        <w:spacing w:after="108" w:line="240" w:lineRule="atLeast"/>
        <w:ind w:left="520" w:hanging="520"/>
        <w:jc w:val="both"/>
      </w:pPr>
      <w:r>
        <w:rPr>
          <w:sz w:val="26"/>
          <w:szCs w:val="26"/>
        </w:rPr>
        <w:t>十三、本</w:t>
      </w:r>
      <w:proofErr w:type="gramStart"/>
      <w:r>
        <w:rPr>
          <w:sz w:val="26"/>
          <w:szCs w:val="26"/>
        </w:rPr>
        <w:t>方案函發後</w:t>
      </w:r>
      <w:proofErr w:type="gramEnd"/>
      <w:r>
        <w:rPr>
          <w:sz w:val="26"/>
          <w:szCs w:val="26"/>
        </w:rPr>
        <w:t>實施。</w:t>
      </w:r>
    </w:p>
    <w:sectPr w:rsidR="0017447F">
      <w:headerReference w:type="default" r:id="rId7"/>
      <w:footerReference w:type="default" r:id="rId8"/>
      <w:pgSz w:w="11906" w:h="16838"/>
      <w:pgMar w:top="1134" w:right="1134" w:bottom="1134" w:left="1134" w:header="567" w:footer="567" w:gutter="0"/>
      <w:pgNumType w:start="21"/>
      <w:cols w:space="720"/>
      <w:docGrid w:type="lines" w:linePitch="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2D72">
      <w:r>
        <w:separator/>
      </w:r>
    </w:p>
  </w:endnote>
  <w:endnote w:type="continuationSeparator" w:id="0">
    <w:p w:rsidR="00000000" w:rsidRDefault="00FF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雅真中楷, 新細明體">
    <w:altName w:val="Calibri"/>
    <w:charset w:val="00"/>
    <w:family w:val="modern"/>
    <w:pitch w:val="default"/>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33C" w:rsidRDefault="00FF2D72">
    <w:pPr>
      <w:pStyle w:val="a5"/>
      <w:tabs>
        <w:tab w:val="clear" w:pos="4153"/>
        <w:tab w:val="clear" w:pos="8306"/>
      </w:tabs>
      <w:jc w:val="center"/>
    </w:pPr>
    <w:r>
      <w:rPr>
        <w:rFonts w:ascii="Book Antiqua" w:eastAsia="標楷體" w:hAnsi="Book Antiqua" w:cs="Book Antiqua"/>
      </w:rPr>
      <w:fldChar w:fldCharType="begin"/>
    </w:r>
    <w:r>
      <w:rPr>
        <w:rFonts w:ascii="Book Antiqua" w:eastAsia="標楷體" w:hAnsi="Book Antiqua" w:cs="Book Antiqua"/>
      </w:rPr>
      <w:instrText xml:space="preserve"> PAGE </w:instrText>
    </w:r>
    <w:r>
      <w:rPr>
        <w:rFonts w:ascii="Book Antiqua" w:eastAsia="標楷體" w:hAnsi="Book Antiqua" w:cs="Book Antiqua"/>
      </w:rPr>
      <w:fldChar w:fldCharType="separate"/>
    </w:r>
    <w:r>
      <w:rPr>
        <w:rFonts w:ascii="Book Antiqua" w:eastAsia="標楷體" w:hAnsi="Book Antiqua" w:cs="Book Antiqua"/>
      </w:rPr>
      <w:t>23</w:t>
    </w:r>
    <w:r>
      <w:rPr>
        <w:rFonts w:ascii="Book Antiqua" w:eastAsia="標楷體" w:hAnsi="Book Antiqua" w:cs="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2D72">
      <w:r>
        <w:rPr>
          <w:color w:val="000000"/>
        </w:rPr>
        <w:separator/>
      </w:r>
    </w:p>
  </w:footnote>
  <w:footnote w:type="continuationSeparator" w:id="0">
    <w:p w:rsidR="00000000" w:rsidRDefault="00FF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33C" w:rsidRDefault="00FF2D72">
    <w:pPr>
      <w:pStyle w:val="a7"/>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2D6"/>
    <w:multiLevelType w:val="multilevel"/>
    <w:tmpl w:val="84AC3E24"/>
    <w:styleLink w:val="WWOutlineListStyle2"/>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6561009"/>
    <w:multiLevelType w:val="multilevel"/>
    <w:tmpl w:val="C3A2D8B2"/>
    <w:styleLink w:val="WW8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246B46E3"/>
    <w:multiLevelType w:val="multilevel"/>
    <w:tmpl w:val="90F6B3C6"/>
    <w:styleLink w:val="WWOutlineListStyle1"/>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A7C10EE"/>
    <w:multiLevelType w:val="multilevel"/>
    <w:tmpl w:val="8146F1B0"/>
    <w:styleLink w:val="WWOutlineListStyle"/>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D5B35FB"/>
    <w:multiLevelType w:val="multilevel"/>
    <w:tmpl w:val="350C9F72"/>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312F0A92"/>
    <w:multiLevelType w:val="multilevel"/>
    <w:tmpl w:val="5A12E89E"/>
    <w:styleLink w:val="WWOutlineListStyle6"/>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540FFF"/>
    <w:multiLevelType w:val="multilevel"/>
    <w:tmpl w:val="DE8AD110"/>
    <w:styleLink w:val="WW8Num1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3B7B163F"/>
    <w:multiLevelType w:val="multilevel"/>
    <w:tmpl w:val="5D088DE0"/>
    <w:styleLink w:val="WW8Num3"/>
    <w:lvl w:ilvl="0">
      <w:start w:val="1"/>
      <w:numFmt w:val="ideographLegalTraditional"/>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3CB65206"/>
    <w:multiLevelType w:val="multilevel"/>
    <w:tmpl w:val="C9D20538"/>
    <w:styleLink w:val="WW8Num7"/>
    <w:lvl w:ilvl="0">
      <w:start w:val="1"/>
      <w:numFmt w:val="decimal"/>
      <w:lvlText w:val="%1"/>
      <w:lvlJc w:val="left"/>
      <w:pPr>
        <w:ind w:left="425" w:hanging="425"/>
      </w:pPr>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EF62777"/>
    <w:multiLevelType w:val="multilevel"/>
    <w:tmpl w:val="73389096"/>
    <w:styleLink w:val="WW8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442458FD"/>
    <w:multiLevelType w:val="multilevel"/>
    <w:tmpl w:val="37726BE0"/>
    <w:styleLink w:val="WW8Num1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48984095"/>
    <w:multiLevelType w:val="multilevel"/>
    <w:tmpl w:val="D09817BA"/>
    <w:styleLink w:val="WWOutlineListStyle5"/>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63A26"/>
    <w:multiLevelType w:val="multilevel"/>
    <w:tmpl w:val="E98E9F0E"/>
    <w:styleLink w:val="Outline"/>
    <w:lvl w:ilvl="0">
      <w:start w:val="1"/>
      <w:numFmt w:val="decimal"/>
      <w:lvlText w:val="%1"/>
      <w:lvlJc w:val="left"/>
      <w:pPr>
        <w:ind w:left="425" w:hanging="425"/>
      </w:pPr>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BED779D"/>
    <w:multiLevelType w:val="multilevel"/>
    <w:tmpl w:val="1324C088"/>
    <w:styleLink w:val="WW8Num8"/>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4D9D4D24"/>
    <w:multiLevelType w:val="multilevel"/>
    <w:tmpl w:val="33CCA452"/>
    <w:styleLink w:val="WW8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50257246"/>
    <w:multiLevelType w:val="multilevel"/>
    <w:tmpl w:val="6D0AA620"/>
    <w:styleLink w:val="WWOutlineListStyle4"/>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0A21065"/>
    <w:multiLevelType w:val="multilevel"/>
    <w:tmpl w:val="4D901918"/>
    <w:styleLink w:val="WWOutlineListStyle3"/>
    <w:lvl w:ilvl="0">
      <w:start w:val="1"/>
      <w:numFmt w:val="none"/>
      <w:lvlText w:val="%1"/>
      <w:lvlJc w:val="left"/>
    </w:lvl>
    <w:lvl w:ilvl="1">
      <w:start w:val="1"/>
      <w:numFmt w:val="decimal"/>
      <w:lvlText w:val="(%1.%2)"/>
      <w:lvlJc w:val="left"/>
      <w:pPr>
        <w:ind w:left="992" w:hanging="567"/>
      </w:pPr>
      <w:rPr>
        <w:rFonts w:ascii="雅真中楷, 新細明體" w:eastAsia="雅真中楷, 新細明體" w:hAnsi="雅真中楷, 新細明體"/>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5427EC6"/>
    <w:multiLevelType w:val="multilevel"/>
    <w:tmpl w:val="75466472"/>
    <w:styleLink w:val="WW8Num1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59670292"/>
    <w:multiLevelType w:val="multilevel"/>
    <w:tmpl w:val="79AA0F8A"/>
    <w:styleLink w:val="WWOutlineListStyle7"/>
    <w:lvl w:ilvl="0">
      <w:start w:val="1"/>
      <w:numFmt w:val="none"/>
      <w:lvlText w:val=""/>
      <w:lvlJc w:val="left"/>
    </w:lvl>
    <w:lvl w:ilvl="1">
      <w:start w:val="1"/>
      <w:numFmt w:val="decimal"/>
      <w:pStyle w:val="2"/>
      <w:lvlText w:val="(%1.%2)"/>
      <w:lvlJc w:val="left"/>
      <w:pPr>
        <w:ind w:left="992" w:hanging="567"/>
      </w:pPr>
      <w:rPr>
        <w:rFonts w:ascii="雅真中楷, 新細明體" w:eastAsia="雅真中楷, 新細明體" w:hAnsi="雅真中楷, 新細明體"/>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9D33021"/>
    <w:multiLevelType w:val="multilevel"/>
    <w:tmpl w:val="3AEAAA9A"/>
    <w:styleLink w:val="WW8Num9"/>
    <w:lvl w:ilvl="0">
      <w:numFmt w:val="bullet"/>
      <w:lvlText w:val="○"/>
      <w:lvlJc w:val="left"/>
      <w:pPr>
        <w:ind w:left="2880" w:hanging="324"/>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28C5E4D"/>
    <w:multiLevelType w:val="multilevel"/>
    <w:tmpl w:val="F460B574"/>
    <w:styleLink w:val="WW8Num5"/>
    <w:lvl w:ilvl="0">
      <w:numFmt w:val="bullet"/>
      <w:lvlText w:val="●"/>
      <w:lvlJc w:val="left"/>
      <w:pPr>
        <w:ind w:left="360" w:hanging="360"/>
      </w:pPr>
      <w:rPr>
        <w:rFonts w:ascii="標楷體" w:eastAsia="標楷體" w:hAnsi="標楷體" w:cs="Times New Roman"/>
        <w:sz w:val="24"/>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15:restartNumberingAfterBreak="0">
    <w:nsid w:val="66D955F4"/>
    <w:multiLevelType w:val="multilevel"/>
    <w:tmpl w:val="6BFAEB6A"/>
    <w:styleLink w:val="WW8Num14"/>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68AF5F2C"/>
    <w:multiLevelType w:val="multilevel"/>
    <w:tmpl w:val="CB0E84B4"/>
    <w:styleLink w:val="WW8Num17"/>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71B90710"/>
    <w:multiLevelType w:val="multilevel"/>
    <w:tmpl w:val="23361B88"/>
    <w:styleLink w:val="WW8Num1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4" w15:restartNumberingAfterBreak="0">
    <w:nsid w:val="77124D4A"/>
    <w:multiLevelType w:val="multilevel"/>
    <w:tmpl w:val="A9A226EE"/>
    <w:styleLink w:val="WW8Num11"/>
    <w:lvl w:ilvl="0">
      <w:numFmt w:val="bullet"/>
      <w:lvlText w:val="●"/>
      <w:lvlJc w:val="left"/>
      <w:pPr>
        <w:ind w:left="360" w:hanging="360"/>
      </w:pPr>
      <w:rPr>
        <w:rFonts w:ascii="標楷體" w:eastAsia="標楷體" w:hAnsi="標楷體" w:cs="Times New Roman"/>
        <w:sz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5" w15:restartNumberingAfterBreak="0">
    <w:nsid w:val="79D53440"/>
    <w:multiLevelType w:val="multilevel"/>
    <w:tmpl w:val="812AC872"/>
    <w:styleLink w:val="WW8Num15"/>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8"/>
  </w:num>
  <w:num w:numId="2">
    <w:abstractNumId w:val="5"/>
  </w:num>
  <w:num w:numId="3">
    <w:abstractNumId w:val="11"/>
  </w:num>
  <w:num w:numId="4">
    <w:abstractNumId w:val="15"/>
  </w:num>
  <w:num w:numId="5">
    <w:abstractNumId w:val="16"/>
  </w:num>
  <w:num w:numId="6">
    <w:abstractNumId w:val="0"/>
  </w:num>
  <w:num w:numId="7">
    <w:abstractNumId w:val="2"/>
  </w:num>
  <w:num w:numId="8">
    <w:abstractNumId w:val="3"/>
  </w:num>
  <w:num w:numId="9">
    <w:abstractNumId w:val="12"/>
  </w:num>
  <w:num w:numId="10">
    <w:abstractNumId w:val="9"/>
  </w:num>
  <w:num w:numId="11">
    <w:abstractNumId w:val="4"/>
  </w:num>
  <w:num w:numId="12">
    <w:abstractNumId w:val="7"/>
  </w:num>
  <w:num w:numId="13">
    <w:abstractNumId w:val="1"/>
  </w:num>
  <w:num w:numId="14">
    <w:abstractNumId w:val="20"/>
  </w:num>
  <w:num w:numId="15">
    <w:abstractNumId w:val="14"/>
  </w:num>
  <w:num w:numId="16">
    <w:abstractNumId w:val="8"/>
  </w:num>
  <w:num w:numId="17">
    <w:abstractNumId w:val="13"/>
  </w:num>
  <w:num w:numId="18">
    <w:abstractNumId w:val="19"/>
  </w:num>
  <w:num w:numId="19">
    <w:abstractNumId w:val="10"/>
  </w:num>
  <w:num w:numId="20">
    <w:abstractNumId w:val="24"/>
  </w:num>
  <w:num w:numId="21">
    <w:abstractNumId w:val="23"/>
  </w:num>
  <w:num w:numId="22">
    <w:abstractNumId w:val="17"/>
  </w:num>
  <w:num w:numId="23">
    <w:abstractNumId w:val="21"/>
  </w:num>
  <w:num w:numId="24">
    <w:abstractNumId w:val="25"/>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7447F"/>
    <w:rsid w:val="0017447F"/>
    <w:rsid w:val="00FF2D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40842-5B65-4383-BD02-0E27A1E7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標楷體" w:hAnsi="Calibri" w:cs="Lucida Sans"/>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2">
    <w:name w:val="heading 2"/>
    <w:basedOn w:val="Standard"/>
    <w:next w:val="Textbodyindent"/>
    <w:uiPriority w:val="9"/>
    <w:semiHidden/>
    <w:unhideWhenUsed/>
    <w:qFormat/>
    <w:pPr>
      <w:keepNext/>
      <w:numPr>
        <w:ilvl w:val="1"/>
        <w:numId w:val="1"/>
      </w:numPr>
      <w:tabs>
        <w:tab w:val="left" w:pos="-7341"/>
      </w:tabs>
      <w:outlineLvl w:val="1"/>
    </w:pPr>
    <w:rPr>
      <w:rFonts w:ascii="雅真中楷, 新細明體" w:eastAsia="雅真中楷, 新細明體" w:hAnsi="雅真中楷, 新細明體"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7">
    <w:name w:val="WW_OutlineListStyle_7"/>
    <w:basedOn w:val="a2"/>
    <w:pPr>
      <w:numPr>
        <w:numId w:val="1"/>
      </w:numPr>
    </w:pPr>
  </w:style>
  <w:style w:type="paragraph" w:customStyle="1" w:styleId="Standard">
    <w:name w:val="Standard"/>
    <w:pPr>
      <w:suppressAutoHyphens/>
    </w:pPr>
    <w:rPr>
      <w:rFonts w:ascii="Times New Roman" w:eastAsia="新細明體, PMingLiU" w:hAnsi="Times New Roman" w:cs="Times New Roman"/>
      <w:sz w:val="24"/>
      <w:szCs w:val="20"/>
      <w:lang w:bidi="ar-SA"/>
    </w:rPr>
  </w:style>
  <w:style w:type="paragraph" w:customStyle="1" w:styleId="Heading">
    <w:name w:val="Heading"/>
    <w:basedOn w:val="Standard"/>
    <w:next w:val="Textbody"/>
    <w:pPr>
      <w:keepNext/>
      <w:spacing w:before="240" w:after="120"/>
    </w:pPr>
    <w:rPr>
      <w:rFonts w:ascii="Liberation Sans" w:eastAsia="標楷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ascii="Calibri" w:eastAsia="標楷體" w:hAnsi="Calibri" w:cs="Lucida Sans"/>
    </w:rPr>
  </w:style>
  <w:style w:type="paragraph" w:styleId="a4">
    <w:name w:val="caption"/>
    <w:basedOn w:val="Standard"/>
    <w:pPr>
      <w:suppressLineNumbers/>
      <w:spacing w:before="120" w:after="120"/>
    </w:pPr>
    <w:rPr>
      <w:rFonts w:ascii="Calibri" w:eastAsia="標楷體" w:hAnsi="Calibri" w:cs="Lucida Sans"/>
      <w:i/>
      <w:iCs/>
      <w:szCs w:val="24"/>
    </w:rPr>
  </w:style>
  <w:style w:type="paragraph" w:customStyle="1" w:styleId="Index">
    <w:name w:val="Index"/>
    <w:basedOn w:val="Standard"/>
    <w:pPr>
      <w:suppressLineNumbers/>
    </w:pPr>
    <w:rPr>
      <w:rFonts w:ascii="Calibri" w:eastAsia="標楷體" w:hAnsi="Calibri" w:cs="Lucida Sans"/>
    </w:rPr>
  </w:style>
  <w:style w:type="paragraph" w:customStyle="1" w:styleId="Textbodyindent">
    <w:name w:val="Text body indent"/>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rPr>
  </w:style>
  <w:style w:type="paragraph" w:styleId="a6">
    <w:name w:val="Body Text Indent"/>
    <w:basedOn w:val="Standard"/>
    <w:pPr>
      <w:ind w:left="2686" w:hanging="2400"/>
    </w:pPr>
    <w:rPr>
      <w:rFonts w:eastAsia="標楷體"/>
    </w:rPr>
  </w:style>
  <w:style w:type="paragraph" w:styleId="20">
    <w:name w:val="Body Text Indent 2"/>
    <w:basedOn w:val="Standard"/>
    <w:pPr>
      <w:ind w:left="1726" w:hanging="1726"/>
    </w:pPr>
    <w:rPr>
      <w:rFonts w:eastAsia="標楷體"/>
    </w:rPr>
  </w:style>
  <w:style w:type="paragraph" w:styleId="a7">
    <w:name w:val="header"/>
    <w:basedOn w:val="Standard"/>
    <w:pPr>
      <w:tabs>
        <w:tab w:val="center" w:pos="4153"/>
        <w:tab w:val="right" w:pos="8306"/>
      </w:tabs>
      <w:snapToGrid w:val="0"/>
    </w:pPr>
    <w:rPr>
      <w:sz w:val="20"/>
    </w:rPr>
  </w:style>
  <w:style w:type="paragraph" w:styleId="3">
    <w:name w:val="Body Text Indent 3"/>
    <w:basedOn w:val="Standard"/>
    <w:pPr>
      <w:snapToGrid w:val="0"/>
      <w:spacing w:line="240" w:lineRule="atLeast"/>
      <w:ind w:left="1006" w:hanging="720"/>
    </w:pPr>
    <w:rPr>
      <w:rFonts w:eastAsia="標楷體"/>
      <w:u w:val="single"/>
    </w:rPr>
  </w:style>
  <w:style w:type="paragraph" w:styleId="a8">
    <w:name w:val="Balloon Text"/>
    <w:basedOn w:val="Standard"/>
    <w:rPr>
      <w:rFonts w:ascii="Arial" w:eastAsia="Arial" w:hAnsi="Arial" w:cs="Arial"/>
      <w:sz w:val="18"/>
      <w:szCs w:val="18"/>
    </w:rPr>
  </w:style>
  <w:style w:type="paragraph" w:styleId="Web">
    <w:name w:val="Normal (Web)"/>
    <w:basedOn w:val="Standard"/>
    <w:pPr>
      <w:widowControl/>
      <w:spacing w:before="100" w:after="100"/>
    </w:pPr>
    <w:rPr>
      <w:rFonts w:ascii="Arial Unicode MS" w:eastAsia="Arial Unicode MS" w:hAnsi="Arial Unicode MS" w:cs="Arial Unicode MS"/>
      <w:kern w:val="0"/>
      <w:szCs w:val="24"/>
    </w:rPr>
  </w:style>
  <w:style w:type="paragraph" w:styleId="a9">
    <w:name w:val="Note Heading"/>
    <w:basedOn w:val="Standard"/>
    <w:next w:val="Standard"/>
    <w:pPr>
      <w:jc w:val="center"/>
    </w:pPr>
    <w:rPr>
      <w:rFonts w:eastAsia="標楷體"/>
      <w:b/>
      <w:sz w:val="32"/>
    </w:rPr>
  </w:style>
  <w:style w:type="character" w:customStyle="1" w:styleId="WW8Num1z0">
    <w:name w:val="WW8Num1z0"/>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WW8Num3z0">
    <w:name w:val="WW8Num3z0"/>
  </w:style>
  <w:style w:type="character" w:customStyle="1" w:styleId="WW8Num5z0">
    <w:name w:val="WW8Num5z0"/>
    <w:rPr>
      <w:rFonts w:ascii="標楷體" w:eastAsia="標楷體" w:hAnsi="標楷體" w:cs="Times New Roman"/>
      <w:sz w:val="24"/>
    </w:rPr>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7z0">
    <w:name w:val="WW8Num7z0"/>
  </w:style>
  <w:style w:type="character" w:customStyle="1" w:styleId="WW8Num7z1">
    <w:name w:val="WW8Num7z1"/>
    <w:rPr>
      <w:rFonts w:ascii="雅真中楷, 新細明體" w:eastAsia="雅真中楷, 新細明體" w:hAnsi="雅真中楷, 新細明體" w:cs="雅真中楷, 新細明體"/>
      <w:b w:val="0"/>
      <w:i w:val="0"/>
      <w:sz w:val="28"/>
    </w:rPr>
  </w:style>
  <w:style w:type="character" w:customStyle="1" w:styleId="WW8Num8z0">
    <w:name w:val="WW8Num8z0"/>
  </w:style>
  <w:style w:type="character" w:customStyle="1" w:styleId="WW8Num9z0">
    <w:name w:val="WW8Num9z0"/>
    <w:rPr>
      <w:rFonts w:ascii="標楷體" w:eastAsia="標楷體" w:hAnsi="標楷體" w:cs="Times New Roman"/>
    </w:rPr>
  </w:style>
  <w:style w:type="character" w:customStyle="1" w:styleId="WW8Num10z0">
    <w:name w:val="WW8Num10z0"/>
  </w:style>
  <w:style w:type="character" w:customStyle="1" w:styleId="WW8Num11z0">
    <w:name w:val="WW8Num11z0"/>
    <w:rPr>
      <w:rFonts w:ascii="標楷體" w:eastAsia="標楷體" w:hAnsi="標楷體" w:cs="Times New Roman"/>
      <w:sz w:val="28"/>
    </w:rPr>
  </w:style>
  <w:style w:type="character" w:customStyle="1" w:styleId="WW8Num11z1">
    <w:name w:val="WW8Num11z1"/>
    <w:rPr>
      <w:rFonts w:ascii="Wingdings" w:eastAsia="Wingdings" w:hAnsi="Wingdings" w:cs="Wingdings"/>
    </w:rPr>
  </w:style>
  <w:style w:type="character" w:customStyle="1" w:styleId="WW8Num12z0">
    <w:name w:val="WW8Num12z0"/>
    <w:rPr>
      <w:rFonts w:ascii="標楷體" w:eastAsia="標楷體" w:hAnsi="標楷體" w:cs="Times New Roman"/>
    </w:rPr>
  </w:style>
  <w:style w:type="character" w:customStyle="1" w:styleId="WW8Num12z1">
    <w:name w:val="WW8Num12z1"/>
    <w:rPr>
      <w:rFonts w:ascii="Wingdings" w:eastAsia="Wingdings" w:hAnsi="Wingdings" w:cs="Wingdings"/>
    </w:rPr>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styleId="aa">
    <w:name w:val="page number"/>
    <w:basedOn w:val="a0"/>
  </w:style>
  <w:style w:type="character" w:customStyle="1" w:styleId="Internetlink">
    <w:name w:val="Internet link"/>
    <w:rPr>
      <w:color w:val="0000FF"/>
      <w:u w:val="single"/>
    </w:rPr>
  </w:style>
  <w:style w:type="character" w:customStyle="1" w:styleId="ab">
    <w:name w:val="頁尾 字元"/>
    <w:rPr>
      <w:kern w:val="3"/>
    </w:rPr>
  </w:style>
  <w:style w:type="numbering" w:customStyle="1" w:styleId="WWOutlineListStyle6">
    <w:name w:val="WW_OutlineListStyle_6"/>
    <w:basedOn w:val="a2"/>
    <w:pPr>
      <w:numPr>
        <w:numId w:val="2"/>
      </w:numPr>
    </w:pPr>
  </w:style>
  <w:style w:type="numbering" w:customStyle="1" w:styleId="WWOutlineListStyle5">
    <w:name w:val="WW_OutlineListStyle_5"/>
    <w:basedOn w:val="a2"/>
    <w:pPr>
      <w:numPr>
        <w:numId w:val="3"/>
      </w:numPr>
    </w:pPr>
  </w:style>
  <w:style w:type="numbering" w:customStyle="1" w:styleId="WWOutlineListStyle4">
    <w:name w:val="WW_OutlineListStyle_4"/>
    <w:basedOn w:val="a2"/>
    <w:pPr>
      <w:numPr>
        <w:numId w:val="4"/>
      </w:numPr>
    </w:pPr>
  </w:style>
  <w:style w:type="numbering" w:customStyle="1" w:styleId="WWOutlineListStyle3">
    <w:name w:val="WW_OutlineListStyle_3"/>
    <w:basedOn w:val="a2"/>
    <w:pPr>
      <w:numPr>
        <w:numId w:val="5"/>
      </w:numPr>
    </w:pPr>
  </w:style>
  <w:style w:type="numbering" w:customStyle="1" w:styleId="WWOutlineListStyle2">
    <w:name w:val="WW_OutlineListStyle_2"/>
    <w:basedOn w:val="a2"/>
    <w:pPr>
      <w:numPr>
        <w:numId w:val="6"/>
      </w:numPr>
    </w:pPr>
  </w:style>
  <w:style w:type="numbering" w:customStyle="1" w:styleId="WWOutlineListStyle1">
    <w:name w:val="WW_OutlineListStyle_1"/>
    <w:basedOn w:val="a2"/>
    <w:pPr>
      <w:numPr>
        <w:numId w:val="7"/>
      </w:numPr>
    </w:pPr>
  </w:style>
  <w:style w:type="numbering" w:customStyle="1" w:styleId="WWOutlineListStyle">
    <w:name w:val="WW_OutlineListStyle"/>
    <w:basedOn w:val="a2"/>
    <w:pPr>
      <w:numPr>
        <w:numId w:val="8"/>
      </w:numPr>
    </w:pPr>
  </w:style>
  <w:style w:type="numbering" w:customStyle="1" w:styleId="Outline">
    <w:name w:val="Outline"/>
    <w:basedOn w:val="a2"/>
    <w:pPr>
      <w:numPr>
        <w:numId w:val="9"/>
      </w:numPr>
    </w:pPr>
  </w:style>
  <w:style w:type="numbering" w:customStyle="1" w:styleId="WW8Num1">
    <w:name w:val="WW8Num1"/>
    <w:basedOn w:val="a2"/>
    <w:pPr>
      <w:numPr>
        <w:numId w:val="10"/>
      </w:numPr>
    </w:pPr>
  </w:style>
  <w:style w:type="numbering" w:customStyle="1" w:styleId="WW8Num2">
    <w:name w:val="WW8Num2"/>
    <w:basedOn w:val="a2"/>
    <w:pPr>
      <w:numPr>
        <w:numId w:val="11"/>
      </w:numPr>
    </w:pPr>
  </w:style>
  <w:style w:type="numbering" w:customStyle="1" w:styleId="WW8Num3">
    <w:name w:val="WW8Num3"/>
    <w:basedOn w:val="a2"/>
    <w:pPr>
      <w:numPr>
        <w:numId w:val="12"/>
      </w:numPr>
    </w:pPr>
  </w:style>
  <w:style w:type="numbering" w:customStyle="1" w:styleId="WW8Num4">
    <w:name w:val="WW8Num4"/>
    <w:basedOn w:val="a2"/>
    <w:pPr>
      <w:numPr>
        <w:numId w:val="13"/>
      </w:numPr>
    </w:pPr>
  </w:style>
  <w:style w:type="numbering" w:customStyle="1" w:styleId="WW8Num5">
    <w:name w:val="WW8Num5"/>
    <w:basedOn w:val="a2"/>
    <w:pPr>
      <w:numPr>
        <w:numId w:val="14"/>
      </w:numPr>
    </w:pPr>
  </w:style>
  <w:style w:type="numbering" w:customStyle="1" w:styleId="WW8Num6">
    <w:name w:val="WW8Num6"/>
    <w:basedOn w:val="a2"/>
    <w:pPr>
      <w:numPr>
        <w:numId w:val="15"/>
      </w:numPr>
    </w:pPr>
  </w:style>
  <w:style w:type="numbering" w:customStyle="1" w:styleId="WW8Num7">
    <w:name w:val="WW8Num7"/>
    <w:basedOn w:val="a2"/>
    <w:pPr>
      <w:numPr>
        <w:numId w:val="16"/>
      </w:numPr>
    </w:pPr>
  </w:style>
  <w:style w:type="numbering" w:customStyle="1" w:styleId="WW8Num8">
    <w:name w:val="WW8Num8"/>
    <w:basedOn w:val="a2"/>
    <w:pPr>
      <w:numPr>
        <w:numId w:val="17"/>
      </w:numPr>
    </w:pPr>
  </w:style>
  <w:style w:type="numbering" w:customStyle="1" w:styleId="WW8Num9">
    <w:name w:val="WW8Num9"/>
    <w:basedOn w:val="a2"/>
    <w:pPr>
      <w:numPr>
        <w:numId w:val="18"/>
      </w:numPr>
    </w:pPr>
  </w:style>
  <w:style w:type="numbering" w:customStyle="1" w:styleId="WW8Num10">
    <w:name w:val="WW8Num10"/>
    <w:basedOn w:val="a2"/>
    <w:pPr>
      <w:numPr>
        <w:numId w:val="19"/>
      </w:numPr>
    </w:pPr>
  </w:style>
  <w:style w:type="numbering" w:customStyle="1" w:styleId="WW8Num11">
    <w:name w:val="WW8Num11"/>
    <w:basedOn w:val="a2"/>
    <w:pPr>
      <w:numPr>
        <w:numId w:val="20"/>
      </w:numPr>
    </w:pPr>
  </w:style>
  <w:style w:type="numbering" w:customStyle="1" w:styleId="WW8Num12">
    <w:name w:val="WW8Num12"/>
    <w:basedOn w:val="a2"/>
    <w:pPr>
      <w:numPr>
        <w:numId w:val="21"/>
      </w:numPr>
    </w:pPr>
  </w:style>
  <w:style w:type="numbering" w:customStyle="1" w:styleId="WW8Num13">
    <w:name w:val="WW8Num13"/>
    <w:basedOn w:val="a2"/>
    <w:pPr>
      <w:numPr>
        <w:numId w:val="22"/>
      </w:numPr>
    </w:pPr>
  </w:style>
  <w:style w:type="numbering" w:customStyle="1" w:styleId="WW8Num14">
    <w:name w:val="WW8Num14"/>
    <w:basedOn w:val="a2"/>
    <w:pPr>
      <w:numPr>
        <w:numId w:val="23"/>
      </w:numPr>
    </w:pPr>
  </w:style>
  <w:style w:type="numbering" w:customStyle="1" w:styleId="WW8Num15">
    <w:name w:val="WW8Num15"/>
    <w:basedOn w:val="a2"/>
    <w:pPr>
      <w:numPr>
        <w:numId w:val="24"/>
      </w:numPr>
    </w:pPr>
  </w:style>
  <w:style w:type="numbering" w:customStyle="1" w:styleId="WW8Num16">
    <w:name w:val="WW8Num16"/>
    <w:basedOn w:val="a2"/>
    <w:pPr>
      <w:numPr>
        <w:numId w:val="25"/>
      </w:numPr>
    </w:pPr>
  </w:style>
  <w:style w:type="numbering" w:customStyle="1" w:styleId="WW8Num17">
    <w:name w:val="WW8Num17"/>
    <w:basedOn w:val="a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lastModifiedBy>user</cp:lastModifiedBy>
  <cp:revision>2</cp:revision>
  <cp:lastPrinted>2024-08-30T10:05:00Z</cp:lastPrinted>
  <dcterms:created xsi:type="dcterms:W3CDTF">2026-03-02T02:53:00Z</dcterms:created>
  <dcterms:modified xsi:type="dcterms:W3CDTF">2026-03-02T02:53:00Z</dcterms:modified>
</cp:coreProperties>
</file>